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7569BA8" w:rsidR="005F1FF5" w:rsidRPr="00CA77BE" w:rsidRDefault="003844BB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CA77BE">
        <w:rPr>
          <w:rFonts w:ascii="Century" w:hAnsi="Century"/>
          <w:b/>
          <w:sz w:val="28"/>
          <w:szCs w:val="28"/>
          <w:lang w:val="uk-UA"/>
        </w:rPr>
        <w:t>4</w:t>
      </w:r>
      <w:r w:rsidR="00CA77BE" w:rsidRPr="00CA77BE">
        <w:rPr>
          <w:rFonts w:ascii="Century" w:hAnsi="Century"/>
          <w:b/>
          <w:sz w:val="28"/>
          <w:szCs w:val="28"/>
          <w:lang w:val="uk-UA"/>
        </w:rPr>
        <w:t>6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09E7770" w:rsidR="005F1FF5" w:rsidRPr="00F25FA5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0A8B65B1" w:rsidR="005F1FF5" w:rsidRPr="005F1FF5" w:rsidRDefault="00C16446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bookmarkStart w:id="0" w:name="_GoBack"/>
      <w:bookmarkEnd w:id="0"/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50C05381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bookmarkStart w:id="2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CA77BE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</w:t>
      </w:r>
      <w:r w:rsidR="00CA77BE">
        <w:rPr>
          <w:rFonts w:ascii="Century" w:hAnsi="Century"/>
          <w:b/>
          <w:color w:val="000000"/>
          <w:lang w:val="uk-UA" w:eastAsia="uk-UA"/>
        </w:rPr>
        <w:t>постійне користування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1"/>
    </w:p>
    <w:bookmarkEnd w:id="2"/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4111C5B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CA77BE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передачі їх в </w:t>
      </w:r>
      <w:r w:rsidR="00CA77BE">
        <w:rPr>
          <w:rFonts w:ascii="Century" w:hAnsi="Century"/>
          <w:color w:val="000000"/>
          <w:lang w:val="uk-UA" w:eastAsia="uk-UA"/>
        </w:rPr>
        <w:t>постійне користування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Pr="0054486B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03DED4FE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</w:t>
      </w:r>
      <w:r w:rsidR="00CA77BE">
        <w:rPr>
          <w:rFonts w:ascii="Century" w:hAnsi="Century"/>
          <w:color w:val="000000"/>
          <w:lang w:val="uk-UA" w:eastAsia="uk-UA"/>
        </w:rPr>
        <w:t>ї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8F5322">
        <w:rPr>
          <w:rFonts w:ascii="Century" w:hAnsi="Century"/>
          <w:lang w:val="uk-UA"/>
        </w:rPr>
        <w:t>орієнтовн</w:t>
      </w:r>
      <w:r w:rsidR="00CA77BE">
        <w:rPr>
          <w:rFonts w:ascii="Century" w:hAnsi="Century"/>
          <w:lang w:val="uk-UA"/>
        </w:rPr>
        <w:t>ою</w:t>
      </w:r>
      <w:r w:rsidR="008F5322">
        <w:rPr>
          <w:rFonts w:ascii="Century" w:hAnsi="Century"/>
          <w:lang w:val="uk-UA"/>
        </w:rPr>
        <w:t xml:space="preserve"> площ</w:t>
      </w:r>
      <w:r w:rsidR="00CA77BE"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</w:t>
      </w:r>
      <w:r w:rsidR="00CA77BE">
        <w:rPr>
          <w:rFonts w:ascii="Century" w:hAnsi="Century"/>
          <w:lang w:val="uk-UA"/>
        </w:rPr>
        <w:t xml:space="preserve">0,0250 </w:t>
      </w:r>
      <w:r w:rsidR="008F5322">
        <w:rPr>
          <w:rFonts w:ascii="Century" w:hAnsi="Century"/>
          <w:lang w:val="uk-UA"/>
        </w:rPr>
        <w:t xml:space="preserve">га </w:t>
      </w:r>
      <w:r w:rsidR="0054486B" w:rsidRPr="0054486B">
        <w:rPr>
          <w:rFonts w:ascii="Century" w:hAnsi="Century"/>
          <w:lang w:val="uk-UA"/>
        </w:rPr>
        <w:t xml:space="preserve">на території Городоцької </w:t>
      </w:r>
      <w:r w:rsidR="00CA77BE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0B891FF0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B0FF8"/>
    <w:rsid w:val="003844BB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AD749A"/>
    <w:rsid w:val="00B3382A"/>
    <w:rsid w:val="00C16446"/>
    <w:rsid w:val="00CA77BE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2023-11-10T08:25:00Z</dcterms:created>
  <dcterms:modified xsi:type="dcterms:W3CDTF">2024-04-04T08:26:00Z</dcterms:modified>
</cp:coreProperties>
</file>