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A1C09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5C0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737D5">
        <w:rPr>
          <w:rFonts w:ascii="Century" w:eastAsia="Calibri" w:hAnsi="Century"/>
          <w:b/>
          <w:sz w:val="32"/>
          <w:szCs w:val="32"/>
          <w:lang w:eastAsia="ru-RU"/>
        </w:rPr>
        <w:t>24/54-779</w:t>
      </w:r>
      <w:r w:rsidR="007737D5">
        <w:rPr>
          <w:rFonts w:ascii="Century" w:eastAsia="Calibri" w:hAnsi="Century"/>
          <w:b/>
          <w:sz w:val="32"/>
          <w:szCs w:val="32"/>
          <w:lang w:eastAsia="ru-RU"/>
        </w:rPr>
        <w:t>9</w:t>
      </w:r>
      <w:bookmarkStart w:id="1" w:name="_GoBack"/>
      <w:bookmarkEnd w:id="1"/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D45B79" w:rsidRDefault="00292E1A">
      <w:pPr>
        <w:pStyle w:val="Standard"/>
        <w:jc w:val="both"/>
      </w:pPr>
      <w:bookmarkStart w:id="2" w:name="_Hlk697358751"/>
      <w:bookmarkEnd w:id="2"/>
      <w:r w:rsidRPr="00D45B79">
        <w:rPr>
          <w:rFonts w:ascii="Century" w:eastAsia="Calibri" w:hAnsi="Century"/>
          <w:lang w:eastAsia="ru-RU"/>
        </w:rPr>
        <w:t>24</w:t>
      </w:r>
      <w:r w:rsidR="00B91542" w:rsidRPr="00D45B79">
        <w:rPr>
          <w:rFonts w:ascii="Century" w:eastAsia="Calibri" w:hAnsi="Century"/>
          <w:lang w:eastAsia="ru-RU"/>
        </w:rPr>
        <w:t xml:space="preserve"> </w:t>
      </w:r>
      <w:r w:rsidR="005B2250" w:rsidRPr="00D45B79">
        <w:rPr>
          <w:rFonts w:ascii="Century" w:eastAsia="Calibri" w:hAnsi="Century"/>
          <w:lang w:eastAsia="ru-RU"/>
        </w:rPr>
        <w:t>жовт</w:t>
      </w:r>
      <w:r w:rsidR="001025BC" w:rsidRPr="00D45B79">
        <w:rPr>
          <w:rFonts w:ascii="Century" w:eastAsia="Calibri" w:hAnsi="Century"/>
          <w:lang w:eastAsia="ru-RU"/>
        </w:rPr>
        <w:t>ня</w:t>
      </w:r>
      <w:r w:rsidR="00B91542" w:rsidRPr="00D45B79">
        <w:rPr>
          <w:rFonts w:ascii="Century" w:eastAsia="Calibri" w:hAnsi="Century"/>
          <w:lang w:eastAsia="ru-RU"/>
        </w:rPr>
        <w:t xml:space="preserve"> 2024 року</w:t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35742F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5F0F5A" w:rsidRPr="00D45B79">
        <w:rPr>
          <w:rFonts w:ascii="Century" w:eastAsia="Calibri" w:hAnsi="Century"/>
          <w:lang w:eastAsia="ru-RU"/>
        </w:rPr>
        <w:t xml:space="preserve">     </w:t>
      </w:r>
      <w:r w:rsidR="0035742F" w:rsidRPr="00D45B79">
        <w:rPr>
          <w:rFonts w:ascii="Century" w:eastAsia="Calibri" w:hAnsi="Century"/>
          <w:lang w:eastAsia="ru-RU"/>
        </w:rPr>
        <w:t xml:space="preserve"> </w:t>
      </w:r>
      <w:r w:rsidRPr="00D45B79">
        <w:rPr>
          <w:rFonts w:ascii="Century" w:eastAsia="Calibri" w:hAnsi="Century"/>
          <w:lang w:eastAsia="ru-RU"/>
        </w:rPr>
        <w:t xml:space="preserve"> </w:t>
      </w:r>
      <w:r w:rsidR="0035742F" w:rsidRPr="00D45B79">
        <w:rPr>
          <w:rFonts w:ascii="Century" w:eastAsia="Calibri" w:hAnsi="Century"/>
          <w:lang w:eastAsia="ru-RU"/>
        </w:rPr>
        <w:t xml:space="preserve">  </w:t>
      </w:r>
      <w:r w:rsidR="00B91542" w:rsidRPr="00D45B79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D45B79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D84732" w:rsidRPr="00D45B79" w:rsidRDefault="00BA5DF6" w:rsidP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будівництва садових будинків в межах Городоцької територіальної громади (зміна цільового призначення земельних ділянок приватної власності </w:t>
      </w:r>
      <w:proofErr w:type="spellStart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Лесняк</w:t>
      </w:r>
      <w:proofErr w:type="spellEnd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Марії-Христини Ігорівни та </w:t>
      </w:r>
      <w:proofErr w:type="spellStart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Лесняк</w:t>
      </w:r>
      <w:proofErr w:type="spellEnd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Юрія Романовича)</w:t>
      </w:r>
    </w:p>
    <w:p w:rsidR="00985D00" w:rsidRPr="00D45B79" w:rsidRDefault="00985D00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84732" w:rsidRPr="00D45B79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45B79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Лесняк</w:t>
      </w:r>
      <w:proofErr w:type="spellEnd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Марії-Христини Ігорівни та </w:t>
      </w:r>
      <w:proofErr w:type="spellStart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Лесняк</w:t>
      </w:r>
      <w:r w:rsidR="0038553D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proofErr w:type="spellEnd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Юрія Романовича</w:t>
      </w:r>
      <w:r w:rsidR="00B46B92" w:rsidRPr="00D45B7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E95145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E02AB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метою </w:t>
      </w:r>
      <w:r w:rsidR="00292E1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визначення </w:t>
      </w:r>
      <w:r w:rsidR="00E02AB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планувальної організації</w:t>
      </w:r>
      <w:r w:rsidR="005A355B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5A355B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функціонального призначення </w:t>
      </w:r>
      <w:r w:rsidR="00C009EB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 розвитку частини території</w:t>
      </w:r>
      <w:r w:rsidR="00BA5DF6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Городоцької територіальної громади Львівського району Львівської області</w:t>
      </w:r>
      <w:r w:rsidRPr="00D45B79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5A355B" w:rsidRPr="00D45B79" w:rsidRDefault="005A35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4F3997" w:rsidRPr="00D45B79" w:rsidRDefault="00B91542" w:rsidP="00E951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D45B79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5A355B" w:rsidRPr="00D45B79" w:rsidRDefault="005A355B" w:rsidP="005B6E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B46B92" w:rsidRPr="00D45B79" w:rsidRDefault="0038553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>Надати дозвіл</w:t>
      </w:r>
      <w:r w:rsidR="00B46B92" w:rsidRPr="00D45B79">
        <w:rPr>
          <w:rFonts w:ascii="Century" w:hAnsi="Century"/>
        </w:rPr>
        <w:t xml:space="preserve"> на розроблення детального плану території</w:t>
      </w:r>
      <w:r w:rsidR="00E95145" w:rsidRPr="00D45B79">
        <w:rPr>
          <w:rFonts w:ascii="Century" w:hAnsi="Century"/>
        </w:rPr>
        <w:t xml:space="preserve"> для будівництва садових будинків в межах Городоцької територіальної громади Львівського району Львівської області (</w:t>
      </w:r>
      <w:r w:rsidR="00B46B92" w:rsidRPr="00D45B79">
        <w:rPr>
          <w:rFonts w:ascii="Century" w:hAnsi="Century"/>
        </w:rPr>
        <w:t xml:space="preserve">зміна цільового призначення земельної ділянки </w:t>
      </w:r>
      <w:r w:rsidRPr="00D45B79">
        <w:rPr>
          <w:rFonts w:ascii="Century" w:hAnsi="Century"/>
        </w:rPr>
        <w:t xml:space="preserve">приватної власності </w:t>
      </w:r>
      <w:proofErr w:type="spellStart"/>
      <w:r w:rsidRPr="00D45B79">
        <w:rPr>
          <w:rFonts w:ascii="Century" w:hAnsi="Century"/>
        </w:rPr>
        <w:t>Лесняк</w:t>
      </w:r>
      <w:proofErr w:type="spellEnd"/>
      <w:r w:rsidRPr="00D45B79">
        <w:rPr>
          <w:rFonts w:ascii="Century" w:hAnsi="Century"/>
        </w:rPr>
        <w:t xml:space="preserve"> Марії-Христини Ігорівни, </w:t>
      </w:r>
      <w:r w:rsidR="00BC4C05" w:rsidRPr="00D45B79">
        <w:rPr>
          <w:rFonts w:ascii="Century" w:hAnsi="Century"/>
        </w:rPr>
        <w:t>кадастровий номер</w:t>
      </w:r>
      <w:r w:rsidR="00D45B79" w:rsidRPr="00D45B79">
        <w:rPr>
          <w:rFonts w:ascii="Century" w:hAnsi="Century"/>
        </w:rPr>
        <w:t>:</w:t>
      </w:r>
      <w:r w:rsidR="00BC4C05" w:rsidRPr="00D45B79">
        <w:rPr>
          <w:rFonts w:ascii="Century" w:hAnsi="Century"/>
        </w:rPr>
        <w:t xml:space="preserve"> 4</w:t>
      </w:r>
      <w:r w:rsidR="004E5309" w:rsidRPr="00D45B79">
        <w:rPr>
          <w:rFonts w:ascii="Century" w:hAnsi="Century"/>
        </w:rPr>
        <w:t>6</w:t>
      </w:r>
      <w:r w:rsidR="00BC4C05" w:rsidRPr="00D45B79">
        <w:rPr>
          <w:rFonts w:ascii="Century" w:hAnsi="Century"/>
        </w:rPr>
        <w:t xml:space="preserve">0981800:08:000:0026, площа: 1 га, цільове призначення: «для ведення особистого селянського господарства» та </w:t>
      </w:r>
      <w:r w:rsidRPr="00D45B79">
        <w:rPr>
          <w:rFonts w:ascii="Century" w:hAnsi="Century"/>
        </w:rPr>
        <w:t xml:space="preserve">земельної ділянки приватної власності </w:t>
      </w:r>
      <w:proofErr w:type="spellStart"/>
      <w:r w:rsidRPr="00D45B79">
        <w:rPr>
          <w:rFonts w:ascii="Century" w:hAnsi="Century"/>
        </w:rPr>
        <w:t>Лесняка</w:t>
      </w:r>
      <w:proofErr w:type="spellEnd"/>
      <w:r w:rsidRPr="00D45B79">
        <w:rPr>
          <w:rFonts w:ascii="Century" w:hAnsi="Century"/>
        </w:rPr>
        <w:t xml:space="preserve"> Юрія Романовича, </w:t>
      </w:r>
      <w:r w:rsidR="00BC4C05" w:rsidRPr="00D45B79">
        <w:rPr>
          <w:rFonts w:ascii="Century" w:hAnsi="Century"/>
        </w:rPr>
        <w:t>кадастровий номер</w:t>
      </w:r>
      <w:r w:rsidR="00D45B79" w:rsidRPr="00D45B79">
        <w:rPr>
          <w:rFonts w:ascii="Century" w:hAnsi="Century"/>
        </w:rPr>
        <w:t>:</w:t>
      </w:r>
      <w:r w:rsidR="00BC4C05" w:rsidRPr="00D45B79">
        <w:rPr>
          <w:rFonts w:ascii="Century" w:hAnsi="Century"/>
        </w:rPr>
        <w:t xml:space="preserve"> 4620981800:08:000:0027, площа: 1 га, цільове призначення: «для ведення особистого селянського господарства»)</w:t>
      </w:r>
      <w:r w:rsidRPr="00D45B79">
        <w:rPr>
          <w:rFonts w:ascii="Century" w:hAnsi="Century"/>
        </w:rPr>
        <w:t>.</w:t>
      </w:r>
    </w:p>
    <w:p w:rsidR="004F3997" w:rsidRPr="00D45B79" w:rsidRDefault="0075039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039C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B91542" w:rsidRPr="00D45B79">
        <w:rPr>
          <w:rFonts w:ascii="Century" w:hAnsi="Century"/>
        </w:rPr>
        <w:t>.</w:t>
      </w:r>
    </w:p>
    <w:p w:rsidR="004F3997" w:rsidRPr="00D45B79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D45B79" w:rsidRDefault="00E02ABA" w:rsidP="00D45B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>Фінансування робіт по внесенню змін до детального плану території здійснити за рахунок коштів заявник</w:t>
      </w:r>
      <w:r w:rsidR="00D45B79" w:rsidRPr="00D45B79">
        <w:rPr>
          <w:rFonts w:ascii="Century" w:hAnsi="Century"/>
        </w:rPr>
        <w:t>ів</w:t>
      </w:r>
      <w:r w:rsidRPr="00D45B79">
        <w:rPr>
          <w:rFonts w:ascii="Century" w:hAnsi="Century"/>
        </w:rPr>
        <w:t>.</w:t>
      </w:r>
    </w:p>
    <w:p w:rsidR="004F3997" w:rsidRPr="00D45B79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</w:t>
      </w:r>
      <w:r w:rsidR="005A355B" w:rsidRPr="00D45B79">
        <w:rPr>
          <w:rFonts w:ascii="Century" w:hAnsi="Century"/>
        </w:rPr>
        <w:t xml:space="preserve"> </w:t>
      </w:r>
      <w:r w:rsidRPr="00D45B79">
        <w:rPr>
          <w:rFonts w:ascii="Century" w:hAnsi="Century"/>
        </w:rPr>
        <w:t>ресурсів, АПК, містобудування, охорони довкілля</w:t>
      </w:r>
      <w:r w:rsidR="008D2548">
        <w:rPr>
          <w:rFonts w:ascii="Century" w:hAnsi="Century"/>
        </w:rPr>
        <w:br/>
      </w:r>
      <w:r w:rsidRPr="00D45B79">
        <w:rPr>
          <w:rFonts w:ascii="Century" w:hAnsi="Century"/>
        </w:rPr>
        <w:t>(гол. Н. Кульчицький).</w:t>
      </w:r>
    </w:p>
    <w:p w:rsidR="0035742F" w:rsidRPr="00D45B79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D45B79" w:rsidRDefault="00B91542">
      <w:pPr>
        <w:pStyle w:val="Standard"/>
        <w:jc w:val="both"/>
        <w:rPr>
          <w:rFonts w:ascii="Century" w:hAnsi="Century"/>
          <w:b/>
        </w:rPr>
      </w:pPr>
      <w:r w:rsidRPr="00D45B79">
        <w:rPr>
          <w:rFonts w:ascii="Century" w:hAnsi="Century"/>
          <w:b/>
        </w:rPr>
        <w:t xml:space="preserve">Міський голова </w:t>
      </w:r>
      <w:r w:rsidRPr="00D45B79">
        <w:rPr>
          <w:rFonts w:ascii="Century" w:hAnsi="Century"/>
          <w:b/>
        </w:rPr>
        <w:tab/>
      </w:r>
      <w:r w:rsidR="0035742F"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  <w:t xml:space="preserve">  </w:t>
      </w:r>
      <w:r w:rsidR="0035742F" w:rsidRPr="00D45B79">
        <w:rPr>
          <w:rFonts w:ascii="Century" w:hAnsi="Century"/>
          <w:b/>
        </w:rPr>
        <w:t xml:space="preserve">  </w:t>
      </w:r>
      <w:r w:rsidR="005A355B" w:rsidRPr="00D45B79">
        <w:rPr>
          <w:rFonts w:ascii="Century" w:hAnsi="Century"/>
          <w:b/>
        </w:rPr>
        <w:t xml:space="preserve">  </w:t>
      </w:r>
      <w:r w:rsidR="0035742F" w:rsidRPr="00D45B79">
        <w:rPr>
          <w:rFonts w:ascii="Century" w:hAnsi="Century"/>
          <w:b/>
        </w:rPr>
        <w:t xml:space="preserve">   </w:t>
      </w:r>
      <w:r w:rsidRPr="00D45B79">
        <w:rPr>
          <w:rFonts w:ascii="Century" w:hAnsi="Century"/>
          <w:b/>
        </w:rPr>
        <w:t>Володимир РЕМЕНЯК</w:t>
      </w:r>
    </w:p>
    <w:sectPr w:rsidR="004F3997" w:rsidRPr="00D45B79" w:rsidSect="008D2548">
      <w:headerReference w:type="default" r:id="rId8"/>
      <w:pgSz w:w="11906" w:h="16838"/>
      <w:pgMar w:top="992" w:right="567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C6B" w:rsidRDefault="00D24C6B">
      <w:r>
        <w:separator/>
      </w:r>
    </w:p>
  </w:endnote>
  <w:endnote w:type="continuationSeparator" w:id="0">
    <w:p w:rsidR="00D24C6B" w:rsidRDefault="00D2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C6B" w:rsidRDefault="00D24C6B">
      <w:r>
        <w:rPr>
          <w:color w:val="000000"/>
        </w:rPr>
        <w:separator/>
      </w:r>
    </w:p>
  </w:footnote>
  <w:footnote w:type="continuationSeparator" w:id="0">
    <w:p w:rsidR="00D24C6B" w:rsidRDefault="00D2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291054"/>
    <w:rsid w:val="00292E1A"/>
    <w:rsid w:val="00296C0F"/>
    <w:rsid w:val="002C173E"/>
    <w:rsid w:val="0034408E"/>
    <w:rsid w:val="0035742F"/>
    <w:rsid w:val="0038553D"/>
    <w:rsid w:val="00462545"/>
    <w:rsid w:val="004E5309"/>
    <w:rsid w:val="004F3997"/>
    <w:rsid w:val="00500CF4"/>
    <w:rsid w:val="00502F96"/>
    <w:rsid w:val="005321B0"/>
    <w:rsid w:val="00532A19"/>
    <w:rsid w:val="005629E2"/>
    <w:rsid w:val="005A355B"/>
    <w:rsid w:val="005B2250"/>
    <w:rsid w:val="005B6E42"/>
    <w:rsid w:val="005F0F5A"/>
    <w:rsid w:val="00642E5F"/>
    <w:rsid w:val="0064313C"/>
    <w:rsid w:val="006479B8"/>
    <w:rsid w:val="006B2B00"/>
    <w:rsid w:val="006B2CCD"/>
    <w:rsid w:val="00701BB8"/>
    <w:rsid w:val="0075039C"/>
    <w:rsid w:val="00765BD6"/>
    <w:rsid w:val="007737D5"/>
    <w:rsid w:val="007B23DD"/>
    <w:rsid w:val="007F6E55"/>
    <w:rsid w:val="00806DE6"/>
    <w:rsid w:val="00825365"/>
    <w:rsid w:val="008302E9"/>
    <w:rsid w:val="008D2548"/>
    <w:rsid w:val="008F038B"/>
    <w:rsid w:val="008F73A1"/>
    <w:rsid w:val="00985D00"/>
    <w:rsid w:val="00A115C6"/>
    <w:rsid w:val="00A83368"/>
    <w:rsid w:val="00AA1C09"/>
    <w:rsid w:val="00B43DF6"/>
    <w:rsid w:val="00B46B92"/>
    <w:rsid w:val="00B91542"/>
    <w:rsid w:val="00BA5DF6"/>
    <w:rsid w:val="00BC4C05"/>
    <w:rsid w:val="00C009EB"/>
    <w:rsid w:val="00C01EF7"/>
    <w:rsid w:val="00C14407"/>
    <w:rsid w:val="00C1559B"/>
    <w:rsid w:val="00C7785B"/>
    <w:rsid w:val="00C81BD1"/>
    <w:rsid w:val="00CC353E"/>
    <w:rsid w:val="00CD78CC"/>
    <w:rsid w:val="00CF71B2"/>
    <w:rsid w:val="00D008F8"/>
    <w:rsid w:val="00D24C6B"/>
    <w:rsid w:val="00D45B79"/>
    <w:rsid w:val="00D643F6"/>
    <w:rsid w:val="00D84732"/>
    <w:rsid w:val="00D85C09"/>
    <w:rsid w:val="00E02ABA"/>
    <w:rsid w:val="00E240A3"/>
    <w:rsid w:val="00E53340"/>
    <w:rsid w:val="00E53D81"/>
    <w:rsid w:val="00E9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CBF46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2024-08-26T09:13:00Z</cp:lastPrinted>
  <dcterms:created xsi:type="dcterms:W3CDTF">2024-10-14T08:00:00Z</dcterms:created>
  <dcterms:modified xsi:type="dcterms:W3CDTF">2024-10-29T07:17:00Z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