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476" w:rsidRPr="00675F89" w:rsidRDefault="007F0B5E" w:rsidP="0072079F">
      <w:pPr>
        <w:pStyle w:val="a3"/>
        <w:ind w:left="453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Додаток </w:t>
      </w:r>
    </w:p>
    <w:p w:rsidR="003F2022" w:rsidRPr="003269FE" w:rsidRDefault="008F7EE4" w:rsidP="003269FE">
      <w:pPr>
        <w:pStyle w:val="a3"/>
        <w:ind w:left="453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</w:t>
      </w:r>
      <w:r w:rsidR="007F0B5E">
        <w:rPr>
          <w:rFonts w:ascii="Times New Roman" w:hAnsi="Times New Roman"/>
          <w:sz w:val="24"/>
          <w:szCs w:val="24"/>
          <w:lang w:val="uk-UA"/>
        </w:rPr>
        <w:t xml:space="preserve"> сесії </w:t>
      </w:r>
      <w:r w:rsidR="00766476" w:rsidRPr="00675F8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269FE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3269FE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7C328A" w:rsidRDefault="007F0B5E" w:rsidP="007F0B5E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від                             2024 року №</w:t>
      </w:r>
    </w:p>
    <w:p w:rsidR="00D7540B" w:rsidRDefault="00D7540B" w:rsidP="0072079F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bookmarkStart w:id="0" w:name="_GoBack"/>
      <w:bookmarkEnd w:id="0"/>
    </w:p>
    <w:p w:rsidR="0072079F" w:rsidRPr="00675F89" w:rsidRDefault="00766476" w:rsidP="0072079F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675F89">
        <w:rPr>
          <w:rFonts w:ascii="Times New Roman" w:hAnsi="Times New Roman"/>
          <w:b/>
          <w:sz w:val="26"/>
          <w:szCs w:val="26"/>
          <w:lang w:val="uk-UA"/>
        </w:rPr>
        <w:t>П</w:t>
      </w:r>
      <w:r w:rsidR="0072079F" w:rsidRPr="00675F89">
        <w:rPr>
          <w:rFonts w:ascii="Times New Roman" w:hAnsi="Times New Roman"/>
          <w:b/>
          <w:sz w:val="26"/>
          <w:szCs w:val="26"/>
          <w:lang w:val="uk-UA"/>
        </w:rPr>
        <w:t xml:space="preserve">ередавальний акт </w:t>
      </w:r>
      <w:r w:rsidR="0072079F" w:rsidRPr="009F5AD1">
        <w:rPr>
          <w:rFonts w:ascii="Times New Roman" w:hAnsi="Times New Roman"/>
          <w:b/>
          <w:sz w:val="26"/>
          <w:szCs w:val="26"/>
          <w:lang w:val="uk-UA"/>
        </w:rPr>
        <w:t>балансових рахунків, матеріальних цінностей та активів</w:t>
      </w:r>
      <w:r w:rsidRPr="00675F89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9A530F" w:rsidRPr="00675F89" w:rsidRDefault="003269FE" w:rsidP="0072079F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КНП «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Городоцька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СП» 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Городоцької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міської ради</w:t>
      </w:r>
      <w:r w:rsidR="0072079F" w:rsidRPr="00675F89">
        <w:rPr>
          <w:rFonts w:ascii="Times New Roman" w:hAnsi="Times New Roman"/>
          <w:b/>
          <w:sz w:val="26"/>
          <w:szCs w:val="26"/>
          <w:lang w:val="uk-UA"/>
        </w:rPr>
        <w:t xml:space="preserve">, що припиняється, </w:t>
      </w:r>
      <w:r w:rsidR="00FB6136" w:rsidRPr="00675F89">
        <w:rPr>
          <w:rFonts w:ascii="Times New Roman" w:hAnsi="Times New Roman"/>
          <w:b/>
          <w:sz w:val="26"/>
          <w:szCs w:val="26"/>
          <w:lang w:val="uk-UA"/>
        </w:rPr>
        <w:t xml:space="preserve">шляхом приєднання до </w:t>
      </w:r>
      <w:r>
        <w:rPr>
          <w:rFonts w:ascii="Times New Roman" w:hAnsi="Times New Roman"/>
          <w:b/>
          <w:sz w:val="26"/>
          <w:szCs w:val="26"/>
          <w:lang w:val="uk-UA"/>
        </w:rPr>
        <w:t>КНП «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Городоцька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ЦЛ»Городоцької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 міської  ради</w:t>
      </w:r>
    </w:p>
    <w:p w:rsidR="0072079F" w:rsidRPr="00675F89" w:rsidRDefault="0072079F" w:rsidP="0072079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2079F" w:rsidRPr="00675F89" w:rsidRDefault="00FD1EBD" w:rsidP="0072079F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м. Городок</w:t>
      </w:r>
      <w:r w:rsidR="0072079F" w:rsidRPr="00675F89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</w:t>
      </w:r>
      <w:r w:rsidR="00D10ADD" w:rsidRPr="00675F89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72079F" w:rsidRPr="00675F89">
        <w:rPr>
          <w:rFonts w:ascii="Times New Roman" w:hAnsi="Times New Roman"/>
          <w:b/>
          <w:sz w:val="24"/>
          <w:szCs w:val="24"/>
          <w:lang w:val="uk-UA"/>
        </w:rPr>
        <w:t xml:space="preserve">                  «</w:t>
      </w:r>
      <w:r w:rsidR="007F0B5E">
        <w:rPr>
          <w:rFonts w:ascii="Times New Roman" w:hAnsi="Times New Roman"/>
          <w:b/>
          <w:sz w:val="24"/>
          <w:szCs w:val="24"/>
          <w:lang w:val="uk-UA"/>
        </w:rPr>
        <w:t>20</w:t>
      </w:r>
      <w:r w:rsidR="0072079F" w:rsidRPr="00675F89">
        <w:rPr>
          <w:rFonts w:ascii="Times New Roman" w:hAnsi="Times New Roman"/>
          <w:b/>
          <w:sz w:val="24"/>
          <w:szCs w:val="24"/>
          <w:lang w:val="uk-UA"/>
        </w:rPr>
        <w:t>»</w:t>
      </w:r>
      <w:r w:rsidR="00E20F04">
        <w:rPr>
          <w:rFonts w:ascii="Times New Roman" w:hAnsi="Times New Roman"/>
          <w:b/>
          <w:sz w:val="24"/>
          <w:szCs w:val="24"/>
          <w:lang w:val="uk-UA"/>
        </w:rPr>
        <w:t xml:space="preserve">листопада </w:t>
      </w:r>
      <w:r w:rsidR="0072079F" w:rsidRPr="00675F89">
        <w:rPr>
          <w:rFonts w:ascii="Times New Roman" w:hAnsi="Times New Roman"/>
          <w:b/>
          <w:sz w:val="24"/>
          <w:szCs w:val="24"/>
          <w:lang w:val="uk-UA"/>
        </w:rPr>
        <w:t>202</w:t>
      </w:r>
      <w:r w:rsidR="003269FE">
        <w:rPr>
          <w:rFonts w:ascii="Times New Roman" w:hAnsi="Times New Roman"/>
          <w:b/>
          <w:sz w:val="24"/>
          <w:szCs w:val="24"/>
          <w:lang w:val="uk-UA"/>
        </w:rPr>
        <w:t>4</w:t>
      </w:r>
      <w:r w:rsidR="0072079F" w:rsidRPr="00675F89"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</w:p>
    <w:p w:rsidR="0072079F" w:rsidRPr="00675F89" w:rsidRDefault="0072079F" w:rsidP="0072079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97D01" w:rsidRPr="00171BC8" w:rsidRDefault="00766476" w:rsidP="0072079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71BC8">
        <w:rPr>
          <w:rFonts w:ascii="Times New Roman" w:hAnsi="Times New Roman"/>
          <w:sz w:val="24"/>
          <w:szCs w:val="24"/>
          <w:lang w:val="uk-UA"/>
        </w:rPr>
        <w:t>Ми, що підписалися нижче, комісія з реорганізації</w:t>
      </w:r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КНП «</w:t>
      </w:r>
      <w:proofErr w:type="spellStart"/>
      <w:r w:rsidR="003269FE" w:rsidRPr="00171BC8">
        <w:rPr>
          <w:rFonts w:ascii="Times New Roman" w:hAnsi="Times New Roman"/>
          <w:sz w:val="24"/>
          <w:szCs w:val="24"/>
          <w:lang w:val="uk-UA"/>
        </w:rPr>
        <w:t>Городоцька</w:t>
      </w:r>
      <w:proofErr w:type="spellEnd"/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СП» </w:t>
      </w:r>
      <w:proofErr w:type="spellStart"/>
      <w:r w:rsidR="003269FE" w:rsidRPr="00171BC8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міської ради, що припиняє</w:t>
      </w:r>
      <w:r w:rsidR="0072079F" w:rsidRPr="00171BC8">
        <w:rPr>
          <w:rFonts w:ascii="Times New Roman" w:hAnsi="Times New Roman"/>
          <w:sz w:val="24"/>
          <w:szCs w:val="24"/>
          <w:lang w:val="uk-UA"/>
        </w:rPr>
        <w:t>ться, шляхом приєднання до</w:t>
      </w:r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КНП «</w:t>
      </w:r>
      <w:proofErr w:type="spellStart"/>
      <w:r w:rsidR="003269FE" w:rsidRPr="00171BC8">
        <w:rPr>
          <w:rFonts w:ascii="Times New Roman" w:hAnsi="Times New Roman"/>
          <w:sz w:val="24"/>
          <w:szCs w:val="24"/>
          <w:lang w:val="uk-UA"/>
        </w:rPr>
        <w:t>Городоцька</w:t>
      </w:r>
      <w:proofErr w:type="spellEnd"/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ЦЛ» </w:t>
      </w:r>
      <w:proofErr w:type="spellStart"/>
      <w:r w:rsidR="003269FE" w:rsidRPr="00171BC8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 міської  ради</w:t>
      </w:r>
      <w:r w:rsidR="0072079F" w:rsidRPr="00171BC8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171BC8">
        <w:rPr>
          <w:rFonts w:ascii="Times New Roman" w:hAnsi="Times New Roman"/>
          <w:sz w:val="24"/>
          <w:szCs w:val="24"/>
          <w:lang w:val="uk-UA"/>
        </w:rPr>
        <w:t>створена</w:t>
      </w:r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рішенням №24/50-7466 50 сесії восьмого скликання </w:t>
      </w:r>
      <w:proofErr w:type="spellStart"/>
      <w:r w:rsidR="003269FE" w:rsidRPr="00171BC8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міської ради від 25 липня 2024 року «Про реорганізацію шляхом приєднання КНП «</w:t>
      </w:r>
      <w:proofErr w:type="spellStart"/>
      <w:r w:rsidR="003269FE" w:rsidRPr="00171BC8">
        <w:rPr>
          <w:rFonts w:ascii="Times New Roman" w:hAnsi="Times New Roman"/>
          <w:sz w:val="24"/>
          <w:szCs w:val="24"/>
          <w:lang w:val="uk-UA"/>
        </w:rPr>
        <w:t>Городоцька</w:t>
      </w:r>
      <w:proofErr w:type="spellEnd"/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стоматологічна поліклініка» </w:t>
      </w:r>
      <w:proofErr w:type="spellStart"/>
      <w:r w:rsidR="003269FE" w:rsidRPr="00171BC8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міської ради Львівської області до КНП «</w:t>
      </w:r>
      <w:proofErr w:type="spellStart"/>
      <w:r w:rsidR="003269FE" w:rsidRPr="00171BC8">
        <w:rPr>
          <w:rFonts w:ascii="Times New Roman" w:hAnsi="Times New Roman"/>
          <w:sz w:val="24"/>
          <w:szCs w:val="24"/>
          <w:lang w:val="uk-UA"/>
        </w:rPr>
        <w:t>Городоцька</w:t>
      </w:r>
      <w:proofErr w:type="spellEnd"/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центральна лікарня» </w:t>
      </w:r>
      <w:proofErr w:type="spellStart"/>
      <w:r w:rsidR="003269FE" w:rsidRPr="00171BC8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3269FE" w:rsidRPr="00171BC8">
        <w:rPr>
          <w:rFonts w:ascii="Times New Roman" w:hAnsi="Times New Roman"/>
          <w:sz w:val="24"/>
          <w:szCs w:val="24"/>
          <w:lang w:val="uk-UA"/>
        </w:rPr>
        <w:t xml:space="preserve"> міської ради Львівської області»</w:t>
      </w:r>
      <w:r w:rsidR="0072079F" w:rsidRPr="00171BC8">
        <w:rPr>
          <w:rFonts w:ascii="Times New Roman" w:hAnsi="Times New Roman"/>
          <w:sz w:val="24"/>
          <w:szCs w:val="24"/>
          <w:lang w:val="uk-UA"/>
        </w:rPr>
        <w:t>, у складі:</w:t>
      </w:r>
    </w:p>
    <w:p w:rsidR="007A07E6" w:rsidRDefault="00AA66B4" w:rsidP="00171BC8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Голова комісії </w:t>
      </w:r>
      <w:r w:rsidR="007A07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:</w:t>
      </w:r>
    </w:p>
    <w:p w:rsidR="00171BC8" w:rsidRPr="009F5AD1" w:rsidRDefault="007A07E6" w:rsidP="00171BC8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 w:rsidRPr="007A07E6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Директор КНП «ГСП» ГМР ЛО</w:t>
      </w:r>
      <w:r w:rsidR="00171BC8"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</w:t>
      </w:r>
      <w:r w:rsidR="00AA66B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</w:t>
      </w:r>
      <w:proofErr w:type="spellStart"/>
      <w:r w:rsidR="00AA66B4"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Матківська</w:t>
      </w:r>
      <w:proofErr w:type="spellEnd"/>
      <w:r w:rsidR="00AA66B4"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О.М.</w:t>
      </w:r>
      <w:r w:rsidR="00171BC8"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                                                   </w:t>
      </w:r>
    </w:p>
    <w:p w:rsidR="00171BC8" w:rsidRPr="009F5AD1" w:rsidRDefault="00171BC8" w:rsidP="00171BC8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171BC8" w:rsidRPr="009F5AD1" w:rsidRDefault="00171BC8" w:rsidP="00171BC8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9F5AD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Члени </w:t>
      </w:r>
      <w:proofErr w:type="spellStart"/>
      <w:r w:rsidRPr="009F5AD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комі</w:t>
      </w:r>
      <w:proofErr w:type="gramStart"/>
      <w:r w:rsidRPr="009F5AD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</w:t>
      </w:r>
      <w:proofErr w:type="gramEnd"/>
      <w:r w:rsidRPr="009F5AD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ії</w:t>
      </w:r>
      <w:proofErr w:type="spellEnd"/>
      <w:r w:rsidRPr="009F5AD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</w:p>
    <w:p w:rsidR="00171BC8" w:rsidRPr="009F5AD1" w:rsidRDefault="00171BC8" w:rsidP="00171BC8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</w:p>
    <w:p w:rsidR="00171BC8" w:rsidRPr="009F5AD1" w:rsidRDefault="00171BC8" w:rsidP="00171BC8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Заступник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Городоцького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міського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голови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ab/>
        <w:t xml:space="preserve">               Щур М.В.</w:t>
      </w:r>
    </w:p>
    <w:p w:rsidR="00171BC8" w:rsidRPr="009F5AD1" w:rsidRDefault="00171BC8" w:rsidP="00171BC8">
      <w:pPr>
        <w:tabs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</w:p>
    <w:p w:rsidR="00171BC8" w:rsidRPr="009F5AD1" w:rsidRDefault="00171BC8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Директор КНП "ГЦЛ" ГМР ЛО</w:t>
      </w: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ab/>
        <w:t xml:space="preserve">              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Фалинський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П.О.</w:t>
      </w:r>
    </w:p>
    <w:p w:rsidR="00171BC8" w:rsidRPr="009F5AD1" w:rsidRDefault="00171BC8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</w:p>
    <w:p w:rsidR="00171BC8" w:rsidRPr="009F5AD1" w:rsidRDefault="00171BC8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Головний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бухгалтер КНП "ГЦЛ" ГМР ЛО</w:t>
      </w: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ab/>
        <w:t xml:space="preserve">               Ткачишин М.І.</w:t>
      </w:r>
    </w:p>
    <w:p w:rsidR="00171BC8" w:rsidRPr="009F5AD1" w:rsidRDefault="00171BC8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</w:p>
    <w:p w:rsidR="00171BC8" w:rsidRPr="009F5AD1" w:rsidRDefault="007A07E6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Головний бухгалтер </w:t>
      </w:r>
      <w:r w:rsidRPr="007A07E6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КНП «ГСП» ГМР ЛО</w:t>
      </w: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</w:t>
      </w: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</w:t>
      </w: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   Коваль Л.А.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</w:t>
      </w:r>
      <w:r w:rsidR="00171BC8"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</w:t>
      </w:r>
      <w:r w:rsidR="00171BC8"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ab/>
        <w:t xml:space="preserve">               </w:t>
      </w:r>
    </w:p>
    <w:p w:rsidR="00171BC8" w:rsidRPr="009F5AD1" w:rsidRDefault="00171BC8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Начальник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відділу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бухгалтерського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proofErr w:type="gram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обл</w:t>
      </w:r>
      <w:proofErr w:type="gram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іку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</w:p>
    <w:p w:rsidR="00171BC8" w:rsidRPr="009F5AD1" w:rsidRDefault="00171BC8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та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господарського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забезпечення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ГМР</w:t>
      </w: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ab/>
        <w:t xml:space="preserve">               Кузик Н.В.</w:t>
      </w:r>
    </w:p>
    <w:p w:rsidR="00171BC8" w:rsidRPr="009F5AD1" w:rsidRDefault="00171BC8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</w:p>
    <w:p w:rsidR="00171BC8" w:rsidRPr="009F5AD1" w:rsidRDefault="00171BC8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Начальник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відділу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публічних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закупівель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</w:p>
    <w:p w:rsidR="00171BC8" w:rsidRPr="009F5AD1" w:rsidRDefault="00171BC8" w:rsidP="00171BC8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та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комунального</w:t>
      </w:r>
      <w:proofErr w:type="spell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майна ГМР</w:t>
      </w:r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ab/>
        <w:t xml:space="preserve">               </w:t>
      </w:r>
      <w:proofErr w:type="spell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Кушні</w:t>
      </w:r>
      <w:proofErr w:type="gramStart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р</w:t>
      </w:r>
      <w:proofErr w:type="spellEnd"/>
      <w:proofErr w:type="gramEnd"/>
      <w:r w:rsidRPr="009F5AD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М.І.</w:t>
      </w:r>
    </w:p>
    <w:tbl>
      <w:tblPr>
        <w:tblW w:w="1694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862"/>
        <w:gridCol w:w="7087"/>
      </w:tblGrid>
      <w:tr w:rsidR="009F5AD1" w:rsidRPr="009F5AD1" w:rsidTr="00171BC8">
        <w:tc>
          <w:tcPr>
            <w:tcW w:w="9862" w:type="dxa"/>
            <w:shd w:val="clear" w:color="auto" w:fill="auto"/>
          </w:tcPr>
          <w:p w:rsidR="0072079F" w:rsidRPr="009F5AD1" w:rsidRDefault="0072079F" w:rsidP="0072079F">
            <w:pPr>
              <w:tabs>
                <w:tab w:val="left" w:pos="2694"/>
                <w:tab w:val="left" w:pos="29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 w:eastAsia="zh-CN"/>
              </w:rPr>
            </w:pPr>
          </w:p>
        </w:tc>
        <w:tc>
          <w:tcPr>
            <w:tcW w:w="7087" w:type="dxa"/>
            <w:shd w:val="clear" w:color="auto" w:fill="auto"/>
          </w:tcPr>
          <w:p w:rsidR="0072079F" w:rsidRPr="009F5AD1" w:rsidRDefault="0072079F" w:rsidP="0072079F">
            <w:pPr>
              <w:tabs>
                <w:tab w:val="left" w:pos="2694"/>
                <w:tab w:val="left" w:pos="29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 w:eastAsia="zh-CN"/>
              </w:rPr>
            </w:pPr>
          </w:p>
        </w:tc>
      </w:tr>
      <w:tr w:rsidR="009F5AD1" w:rsidRPr="009F5AD1" w:rsidTr="00237371">
        <w:trPr>
          <w:trHeight w:val="542"/>
        </w:trPr>
        <w:tc>
          <w:tcPr>
            <w:tcW w:w="9862" w:type="dxa"/>
            <w:shd w:val="clear" w:color="auto" w:fill="auto"/>
          </w:tcPr>
          <w:p w:rsidR="0072079F" w:rsidRPr="009F5AD1" w:rsidRDefault="00171BC8" w:rsidP="00171BC8">
            <w:pPr>
              <w:shd w:val="clear" w:color="auto" w:fill="FFFFFF"/>
              <w:ind w:right="-1"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Керуючись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ст.ст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25, 26, 43, 59, 60 Закону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«Про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місцеве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самоврядування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Україні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ст. 104-108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Цивільного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кодексу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ст.ст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59, 78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Господарського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кодексу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Законів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«Про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державну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реєстрацію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юридичних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осіб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фізичних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осіб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ідприємців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громадських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формувань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», ст. 16 «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Основи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законодавства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охорону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здоров’я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«Про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державні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фінансові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гарантії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медичного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обслуговування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«Про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внесення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змін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деяких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законодавчих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актів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щодо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удосконалення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законодавства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питань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діяльності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закладів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охорони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здоров’я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№ 2002-19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від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06.04.2017,</w:t>
            </w:r>
            <w:r w:rsidR="00A739F2" w:rsidRPr="004B501D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згідно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№24/50-7466 50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восьмого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скликання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Городоцької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липня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2024 року «Про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реорганізацію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шляхом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приєднання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КНП «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Городоцька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стоматологічна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поліклініка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Городоцької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Львівської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до КНП «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Городоцька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лікарня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Городоцької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Львівської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="00A739F2" w:rsidRPr="00A739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739F2" w:rsidRPr="00A739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39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метою </w:t>
            </w:r>
            <w:proofErr w:type="spellStart"/>
            <w:r w:rsidRPr="00A739F2">
              <w:rPr>
                <w:rFonts w:ascii="Times New Roman" w:hAnsi="Times New Roman" w:cs="Times New Roman"/>
                <w:bCs/>
                <w:sz w:val="24"/>
                <w:szCs w:val="24"/>
              </w:rPr>
              <w:t>оптимізації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мережі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некомерційних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ідприємств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галузі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охорони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здоров’я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підвищення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якості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доступності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медичних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послуг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реалізації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державної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політики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реформування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сфери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охорони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здоров’я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ефективного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використання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матеріальних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трудових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ресурсів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розбудови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спроможної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мережі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закладів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охорони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здоров’я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враховуючи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висновки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постійних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комісій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питань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охорони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здоров’я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соц</w:t>
            </w:r>
            <w:proofErr w:type="gram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іального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захисту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 справах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ветеранів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ООС / АТО, </w:t>
            </w:r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бюджету,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соціально-економічного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розвитку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комунального</w:t>
            </w:r>
            <w:proofErr w:type="spellEnd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майна і </w:t>
            </w:r>
            <w:proofErr w:type="spellStart"/>
            <w:r w:rsidRPr="009F5AD1">
              <w:rPr>
                <w:rFonts w:ascii="Times New Roman" w:hAnsi="Times New Roman" w:cs="Times New Roman"/>
                <w:bCs/>
                <w:sz w:val="24"/>
                <w:szCs w:val="24"/>
              </w:rPr>
              <w:t>приватизації</w:t>
            </w:r>
            <w:proofErr w:type="spellEnd"/>
            <w:r w:rsidR="00237371" w:rsidRPr="009F5AD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склали цей акт про таке:</w:t>
            </w:r>
          </w:p>
          <w:p w:rsidR="003C677B" w:rsidRPr="009F5AD1" w:rsidRDefault="003C677B" w:rsidP="00171BC8">
            <w:pPr>
              <w:shd w:val="clear" w:color="auto" w:fill="FFFFFF"/>
              <w:ind w:right="-1"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 w:eastAsia="zh-CN"/>
              </w:rPr>
            </w:pPr>
          </w:p>
        </w:tc>
        <w:tc>
          <w:tcPr>
            <w:tcW w:w="7087" w:type="dxa"/>
            <w:shd w:val="clear" w:color="auto" w:fill="auto"/>
          </w:tcPr>
          <w:p w:rsidR="0072079F" w:rsidRPr="009F5AD1" w:rsidRDefault="0072079F" w:rsidP="0072079F">
            <w:pPr>
              <w:tabs>
                <w:tab w:val="left" w:pos="2694"/>
                <w:tab w:val="left" w:pos="29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 w:eastAsia="zh-CN"/>
              </w:rPr>
            </w:pPr>
          </w:p>
        </w:tc>
      </w:tr>
    </w:tbl>
    <w:p w:rsidR="00194DB7" w:rsidRDefault="00194DB7" w:rsidP="00194DB7">
      <w:pPr>
        <w:pStyle w:val="a3"/>
        <w:ind w:firstLine="708"/>
        <w:jc w:val="both"/>
        <w:rPr>
          <w:rStyle w:val="A30"/>
          <w:rFonts w:ascii="Times New Roman" w:hAnsi="Times New Roman"/>
          <w:sz w:val="24"/>
          <w:szCs w:val="24"/>
          <w:lang w:val="uk-UA"/>
        </w:rPr>
      </w:pP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lastRenderedPageBreak/>
        <w:t>1.</w:t>
      </w:r>
      <w:r w:rsidR="00B054FF" w:rsidRPr="009F5AD1">
        <w:rPr>
          <w:rFonts w:ascii="Times New Roman" w:hAnsi="Times New Roman"/>
          <w:sz w:val="24"/>
          <w:szCs w:val="24"/>
          <w:lang w:val="uk-UA"/>
        </w:rPr>
        <w:t xml:space="preserve"> КНП «</w:t>
      </w:r>
      <w:proofErr w:type="spellStart"/>
      <w:r w:rsidR="00B054FF" w:rsidRPr="009F5AD1">
        <w:rPr>
          <w:rFonts w:ascii="Times New Roman" w:hAnsi="Times New Roman"/>
          <w:sz w:val="24"/>
          <w:szCs w:val="24"/>
          <w:lang w:val="uk-UA"/>
        </w:rPr>
        <w:t>Городоцька</w:t>
      </w:r>
      <w:proofErr w:type="spellEnd"/>
      <w:r w:rsidR="00B054FF" w:rsidRPr="009F5AD1">
        <w:rPr>
          <w:rFonts w:ascii="Times New Roman" w:hAnsi="Times New Roman"/>
          <w:sz w:val="24"/>
          <w:szCs w:val="24"/>
          <w:lang w:val="uk-UA"/>
        </w:rPr>
        <w:t xml:space="preserve"> центральна лікарня» </w:t>
      </w:r>
      <w:proofErr w:type="spellStart"/>
      <w:r w:rsidR="00B054FF" w:rsidRPr="009F5AD1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B054FF" w:rsidRPr="009F5AD1">
        <w:rPr>
          <w:rFonts w:ascii="Times New Roman" w:hAnsi="Times New Roman"/>
          <w:sz w:val="24"/>
          <w:szCs w:val="24"/>
          <w:lang w:val="uk-UA"/>
        </w:rPr>
        <w:t xml:space="preserve"> міської ради Львівської області</w:t>
      </w:r>
      <w:r w:rsidR="00B054FF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 (</w:t>
      </w:r>
      <w:r w:rsidR="00B054FF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код 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ЄДРПОУ </w:t>
      </w:r>
      <w:r w:rsidR="00B054FF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01997863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), місцезнаходження:</w:t>
      </w:r>
      <w:r w:rsidR="00B054FF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 Львівська область, Львівський район, місто Городок вул. Коц</w:t>
      </w:r>
      <w:r w:rsidR="004D52A5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ю</w:t>
      </w:r>
      <w:r w:rsidR="00B054FF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бинського М., будинок 1</w:t>
      </w:r>
      <w:r w:rsidR="00B70631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8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, внаслідок реорганізації </w:t>
      </w:r>
      <w:r w:rsidR="00B054FF" w:rsidRPr="009F5AD1">
        <w:rPr>
          <w:rFonts w:ascii="Times New Roman" w:hAnsi="Times New Roman"/>
          <w:sz w:val="24"/>
          <w:szCs w:val="24"/>
          <w:lang w:val="uk-UA"/>
        </w:rPr>
        <w:t>КНП «</w:t>
      </w:r>
      <w:proofErr w:type="spellStart"/>
      <w:r w:rsidR="00B054FF" w:rsidRPr="009F5AD1">
        <w:rPr>
          <w:rFonts w:ascii="Times New Roman" w:hAnsi="Times New Roman"/>
          <w:sz w:val="24"/>
          <w:szCs w:val="24"/>
          <w:lang w:val="uk-UA"/>
        </w:rPr>
        <w:t>Городоцька</w:t>
      </w:r>
      <w:proofErr w:type="spellEnd"/>
      <w:r w:rsidR="00B054FF" w:rsidRPr="009F5AD1">
        <w:rPr>
          <w:rFonts w:ascii="Times New Roman" w:hAnsi="Times New Roman"/>
          <w:sz w:val="24"/>
          <w:szCs w:val="24"/>
          <w:lang w:val="uk-UA"/>
        </w:rPr>
        <w:t xml:space="preserve"> стоматологічна поліклініка» </w:t>
      </w:r>
      <w:proofErr w:type="spellStart"/>
      <w:r w:rsidR="00B054FF" w:rsidRPr="009F5AD1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B054FF" w:rsidRPr="009F5AD1">
        <w:rPr>
          <w:rFonts w:ascii="Times New Roman" w:hAnsi="Times New Roman"/>
          <w:sz w:val="24"/>
          <w:szCs w:val="24"/>
          <w:lang w:val="uk-UA"/>
        </w:rPr>
        <w:t xml:space="preserve"> міської ради Львівської області 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(ЄДРПОУ</w:t>
      </w:r>
      <w:r w:rsidR="00B659FB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="00B054FF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22360199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), місцезнаходження: </w:t>
      </w:r>
      <w:r w:rsidR="00B054FF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Львівська  область,  Львівський район, 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м.</w:t>
      </w:r>
      <w:r w:rsidR="00B659FB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 Городок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, вул.</w:t>
      </w:r>
      <w:r w:rsidR="004D52A5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 Львівська, будинок 13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, шляхом приєднання до</w:t>
      </w:r>
      <w:r w:rsidR="00B70631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="00B70631" w:rsidRPr="009F5AD1">
        <w:rPr>
          <w:rFonts w:ascii="Times New Roman" w:hAnsi="Times New Roman"/>
          <w:sz w:val="24"/>
          <w:szCs w:val="24"/>
          <w:lang w:val="uk-UA"/>
        </w:rPr>
        <w:t>КНП «</w:t>
      </w:r>
      <w:proofErr w:type="spellStart"/>
      <w:r w:rsidR="00B70631" w:rsidRPr="009F5AD1">
        <w:rPr>
          <w:rFonts w:ascii="Times New Roman" w:hAnsi="Times New Roman"/>
          <w:sz w:val="24"/>
          <w:szCs w:val="24"/>
          <w:lang w:val="uk-UA"/>
        </w:rPr>
        <w:t>Городоцька</w:t>
      </w:r>
      <w:proofErr w:type="spellEnd"/>
      <w:r w:rsidR="00B70631" w:rsidRPr="009F5AD1">
        <w:rPr>
          <w:rFonts w:ascii="Times New Roman" w:hAnsi="Times New Roman"/>
          <w:sz w:val="24"/>
          <w:szCs w:val="24"/>
          <w:lang w:val="uk-UA"/>
        </w:rPr>
        <w:t xml:space="preserve"> центральна лікарня» </w:t>
      </w:r>
      <w:proofErr w:type="spellStart"/>
      <w:r w:rsidR="00B70631" w:rsidRPr="009F5AD1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B70631" w:rsidRPr="009F5AD1">
        <w:rPr>
          <w:rFonts w:ascii="Times New Roman" w:hAnsi="Times New Roman"/>
          <w:sz w:val="24"/>
          <w:szCs w:val="24"/>
          <w:lang w:val="uk-UA"/>
        </w:rPr>
        <w:t xml:space="preserve"> міської ради Львівської області</w:t>
      </w:r>
      <w:r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>, є правонаступником майна, прав, активів, обов’язків та зобов’язань</w:t>
      </w:r>
      <w:r w:rsidR="00B70631" w:rsidRPr="009F5AD1">
        <w:rPr>
          <w:rStyle w:val="A30"/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="00B70631" w:rsidRPr="009F5AD1">
        <w:rPr>
          <w:rFonts w:ascii="Times New Roman" w:hAnsi="Times New Roman"/>
          <w:sz w:val="24"/>
          <w:szCs w:val="24"/>
          <w:lang w:val="uk-UA"/>
        </w:rPr>
        <w:t>КНП «</w:t>
      </w:r>
      <w:proofErr w:type="spellStart"/>
      <w:r w:rsidR="00B70631" w:rsidRPr="009F5AD1">
        <w:rPr>
          <w:rFonts w:ascii="Times New Roman" w:hAnsi="Times New Roman"/>
          <w:sz w:val="24"/>
          <w:szCs w:val="24"/>
          <w:lang w:val="uk-UA"/>
        </w:rPr>
        <w:t>Городоцька</w:t>
      </w:r>
      <w:proofErr w:type="spellEnd"/>
      <w:r w:rsidR="00B70631" w:rsidRPr="009F5AD1">
        <w:rPr>
          <w:rFonts w:ascii="Times New Roman" w:hAnsi="Times New Roman"/>
          <w:sz w:val="24"/>
          <w:szCs w:val="24"/>
          <w:lang w:val="uk-UA"/>
        </w:rPr>
        <w:t xml:space="preserve"> стоматологічна поліклініка» </w:t>
      </w:r>
      <w:proofErr w:type="spellStart"/>
      <w:r w:rsidR="00B70631" w:rsidRPr="009F5AD1">
        <w:rPr>
          <w:rFonts w:ascii="Times New Roman" w:hAnsi="Times New Roman"/>
          <w:sz w:val="24"/>
          <w:szCs w:val="24"/>
          <w:lang w:val="uk-UA"/>
        </w:rPr>
        <w:t>Городоцької</w:t>
      </w:r>
      <w:proofErr w:type="spellEnd"/>
      <w:r w:rsidR="00B70631" w:rsidRPr="00171BC8">
        <w:rPr>
          <w:rFonts w:ascii="Times New Roman" w:hAnsi="Times New Roman"/>
          <w:sz w:val="24"/>
          <w:szCs w:val="24"/>
          <w:lang w:val="uk-UA"/>
        </w:rPr>
        <w:t xml:space="preserve"> міської ради Львівської області</w:t>
      </w:r>
      <w:r w:rsidRPr="002E734A">
        <w:rPr>
          <w:rStyle w:val="A30"/>
          <w:rFonts w:ascii="Times New Roman" w:hAnsi="Times New Roman"/>
          <w:sz w:val="24"/>
          <w:szCs w:val="24"/>
          <w:lang w:val="uk-UA"/>
        </w:rPr>
        <w:t>, а саме</w:t>
      </w:r>
      <w:r>
        <w:rPr>
          <w:rStyle w:val="A30"/>
          <w:rFonts w:ascii="Times New Roman" w:hAnsi="Times New Roman"/>
          <w:sz w:val="24"/>
          <w:szCs w:val="24"/>
          <w:lang w:val="uk-UA"/>
        </w:rPr>
        <w:t>:</w:t>
      </w:r>
    </w:p>
    <w:p w:rsidR="00F843BD" w:rsidRDefault="00F843BD" w:rsidP="00194DB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4518" w:type="dxa"/>
        <w:tblInd w:w="108" w:type="dxa"/>
        <w:tblLook w:val="04A0" w:firstRow="1" w:lastRow="0" w:firstColumn="1" w:lastColumn="0" w:noHBand="0" w:noVBand="1"/>
      </w:tblPr>
      <w:tblGrid>
        <w:gridCol w:w="257"/>
        <w:gridCol w:w="256"/>
        <w:gridCol w:w="256"/>
        <w:gridCol w:w="256"/>
        <w:gridCol w:w="256"/>
        <w:gridCol w:w="296"/>
        <w:gridCol w:w="222"/>
        <w:gridCol w:w="222"/>
        <w:gridCol w:w="256"/>
        <w:gridCol w:w="256"/>
        <w:gridCol w:w="256"/>
        <w:gridCol w:w="222"/>
        <w:gridCol w:w="256"/>
        <w:gridCol w:w="256"/>
        <w:gridCol w:w="256"/>
        <w:gridCol w:w="256"/>
        <w:gridCol w:w="236"/>
        <w:gridCol w:w="276"/>
        <w:gridCol w:w="256"/>
        <w:gridCol w:w="256"/>
        <w:gridCol w:w="236"/>
        <w:gridCol w:w="276"/>
        <w:gridCol w:w="300"/>
        <w:gridCol w:w="422"/>
        <w:gridCol w:w="547"/>
        <w:gridCol w:w="161"/>
        <w:gridCol w:w="276"/>
        <w:gridCol w:w="256"/>
        <w:gridCol w:w="236"/>
        <w:gridCol w:w="871"/>
        <w:gridCol w:w="161"/>
        <w:gridCol w:w="1206"/>
        <w:gridCol w:w="161"/>
        <w:gridCol w:w="236"/>
        <w:gridCol w:w="466"/>
        <w:gridCol w:w="545"/>
        <w:gridCol w:w="243"/>
        <w:gridCol w:w="329"/>
        <w:gridCol w:w="309"/>
        <w:gridCol w:w="309"/>
        <w:gridCol w:w="309"/>
        <w:gridCol w:w="323"/>
        <w:gridCol w:w="296"/>
        <w:gridCol w:w="296"/>
        <w:gridCol w:w="689"/>
      </w:tblGrid>
      <w:tr w:rsidR="003C677B" w:rsidRPr="008F7EE4" w:rsidTr="009F5406">
        <w:trPr>
          <w:trHeight w:val="15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77B" w:rsidRPr="000B554E" w:rsidRDefault="003C677B" w:rsidP="000B55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77B" w:rsidRPr="000B554E" w:rsidRDefault="003C677B" w:rsidP="000B55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55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Актив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</w:t>
            </w: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рядка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початок звітного року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на 01.01.2024 року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7D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На кінець звітного </w:t>
            </w: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періоду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на 2</w:t>
            </w:r>
            <w:r w:rsidR="007D19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.11.2024 року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Примітка</w:t>
            </w:r>
          </w:p>
        </w:tc>
      </w:tr>
      <w:tr w:rsidR="003C677B" w:rsidRPr="000B554E" w:rsidTr="009F5406">
        <w:trPr>
          <w:gridAfter w:val="13"/>
          <w:wAfter w:w="4511" w:type="dxa"/>
          <w:trHeight w:val="24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3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I. Необоротні активи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5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Нематеріальні активи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1000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2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первісна вартість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1001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4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накопичена амортизація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1002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9F5AD1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 </w:t>
            </w:r>
            <w:r w:rsidR="003C677B"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     </w:t>
            </w:r>
            <w:r w:rsidR="003C677B"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)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    </w:t>
            </w:r>
            <w:r w:rsidR="009F5AD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</w:t>
            </w: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 )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Незавершені капітальні інвестиції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1005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Основні засоби: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9F5AD1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877036,10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820255,57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первісна вартість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1011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9F5AD1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1479352,02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1300805,28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Додаток 1</w:t>
            </w: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знос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1012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( </w:t>
            </w:r>
            <w:r w:rsidR="009F5AD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602315,92)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(480549,71</w:t>
            </w:r>
            <w:r w:rsidR="003C677B"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Довгострокові біологічні активи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1020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Довгострокові фінансові інвестиції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необоротні активи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1090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35895,00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4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Усього за розділом I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1095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912931,10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820255,57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1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II. Оборотні активи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Запаси: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1100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88357,78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35186,49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Додаток </w:t>
            </w:r>
            <w:r w:rsidR="004A28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2,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одаток 3</w:t>
            </w: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готова продукція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1103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Поточні біологічні активи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Дебіторська заборгованість за товари, роботи, послуги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1125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61872,44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Дебіторська заборгованість за розрахунками з бюджетом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1135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8900,00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 податку на прибуток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1136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Інша поточна дебіторська заборгованість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1155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Поточні фінансові інвестиції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1160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Гроші та їх еквіваленти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1165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322426,00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78987,43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144C69" w:rsidRDefault="00144C69" w:rsidP="00A70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Додаток 6</w:t>
            </w: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майбутніх періодів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1170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0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оборотні активи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1190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8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Усього за розділом II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1195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481556,22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114173,92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5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III. Необоротні активи, утримувані для продажу, та </w:t>
            </w: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br/>
              <w:t>групи вибуття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1200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45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Баланс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1300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1394487,32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934429,49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trHeight w:val="1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52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Пасив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</w:t>
            </w: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рядка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початок звітного року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на 01.01.2024 року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B" w:rsidRPr="000B554E" w:rsidRDefault="003C677B" w:rsidP="00F74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На кінець звітного </w:t>
            </w: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періоду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на 2</w:t>
            </w:r>
            <w:r w:rsidR="00F74E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.11.2024 року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Примітка</w:t>
            </w:r>
          </w:p>
        </w:tc>
      </w:tr>
      <w:tr w:rsidR="003C677B" w:rsidRPr="000B554E" w:rsidTr="009F5406">
        <w:trPr>
          <w:gridAfter w:val="13"/>
          <w:wAfter w:w="4511" w:type="dxa"/>
          <w:trHeight w:val="25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9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I. Власний капітал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Зареєстрований (пайовий) капітал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1400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Додатковий капітал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1410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C9710C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877036,10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820255,57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Додаток 4</w:t>
            </w: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Резервний капітал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1415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Нерозподілений прибуток (непокритий збиток)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1420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C9710C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517451,22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114173,92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Додаток 5</w:t>
            </w: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Неоплачений капітал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1425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                        )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                         )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9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Усього за розділом I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1495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C9710C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1394487,32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934429,49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54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II. Довгострокові зобов'язання, цільове фінансування</w:t>
            </w: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br/>
              <w:t>та забезпечення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1595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6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III. Поточні зобов'язання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Короткострокові кредити банків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1600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Поточна кредиторська заборгованість за: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довгостроковими зобов'язаннями</w:t>
            </w:r>
          </w:p>
        </w:tc>
        <w:tc>
          <w:tcPr>
            <w:tcW w:w="1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1610</w:t>
            </w:r>
          </w:p>
        </w:tc>
        <w:tc>
          <w:tcPr>
            <w:tcW w:w="17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товари, роботи, послуги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1615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розрахунками з бюджетом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1620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у тому числі з податку на прибуток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1621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розрахунками зі страхування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1625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розрахунками з оплати праці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1630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Доходи майбутніх періодів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1665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270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поточні зобов'язання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1690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4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Усього за розділом III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1695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52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IV. Зобов'язання, пов'язані з необоротними активами, утримуваними для продажу, та групами вибуття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1700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gridAfter w:val="13"/>
          <w:wAfter w:w="4511" w:type="dxa"/>
          <w:trHeight w:val="345"/>
        </w:trPr>
        <w:tc>
          <w:tcPr>
            <w:tcW w:w="37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Баланс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0B5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1900</w:t>
            </w:r>
          </w:p>
        </w:tc>
        <w:tc>
          <w:tcPr>
            <w:tcW w:w="1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C9710C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1394487,32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B" w:rsidRPr="000B554E" w:rsidRDefault="008E50C6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934429,49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77B" w:rsidRPr="000B554E" w:rsidRDefault="003C677B" w:rsidP="00C9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C677B" w:rsidRPr="000B554E" w:rsidTr="009F5406">
        <w:trPr>
          <w:trHeight w:val="15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B" w:rsidRPr="000B554E" w:rsidRDefault="003C677B" w:rsidP="000B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194DB7" w:rsidRDefault="00194DB7" w:rsidP="00194DB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DB7" w:rsidRDefault="00194DB7" w:rsidP="00194DB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2.Разом з майном </w:t>
      </w:r>
      <w:r w:rsidR="00C9710C">
        <w:rPr>
          <w:rFonts w:ascii="Times New Roman" w:hAnsi="Times New Roman" w:cs="Times New Roman"/>
          <w:sz w:val="24"/>
          <w:szCs w:val="24"/>
          <w:lang w:val="uk-UA"/>
        </w:rPr>
        <w:t>КНП «</w:t>
      </w:r>
      <w:proofErr w:type="spellStart"/>
      <w:r w:rsidR="00C9710C">
        <w:rPr>
          <w:rFonts w:ascii="Times New Roman" w:hAnsi="Times New Roman" w:cs="Times New Roman"/>
          <w:sz w:val="24"/>
          <w:szCs w:val="24"/>
          <w:lang w:val="uk-UA"/>
        </w:rPr>
        <w:t>Городоцька</w:t>
      </w:r>
      <w:proofErr w:type="spellEnd"/>
      <w:r w:rsidR="00C9710C">
        <w:rPr>
          <w:rFonts w:ascii="Times New Roman" w:hAnsi="Times New Roman" w:cs="Times New Roman"/>
          <w:sz w:val="24"/>
          <w:szCs w:val="24"/>
          <w:lang w:val="uk-UA"/>
        </w:rPr>
        <w:t xml:space="preserve"> СП» </w:t>
      </w:r>
      <w:proofErr w:type="spellStart"/>
      <w:r w:rsidR="00C9710C">
        <w:rPr>
          <w:rFonts w:ascii="Times New Roman" w:hAnsi="Times New Roman" w:cs="Times New Roman"/>
          <w:sz w:val="24"/>
          <w:szCs w:val="24"/>
          <w:lang w:val="uk-UA"/>
        </w:rPr>
        <w:t>Городоцької</w:t>
      </w:r>
      <w:proofErr w:type="spellEnd"/>
      <w:r w:rsidR="00C9710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Львівськ</w:t>
      </w:r>
      <w:r w:rsidR="00C9710C">
        <w:rPr>
          <w:rFonts w:ascii="Times New Roman" w:hAnsi="Times New Roman" w:cs="Times New Roman"/>
          <w:sz w:val="24"/>
          <w:szCs w:val="24"/>
          <w:lang w:val="uk-UA"/>
        </w:rPr>
        <w:t>ої області КНП «</w:t>
      </w:r>
      <w:proofErr w:type="spellStart"/>
      <w:r w:rsidR="00C9710C">
        <w:rPr>
          <w:rFonts w:ascii="Times New Roman" w:hAnsi="Times New Roman" w:cs="Times New Roman"/>
          <w:sz w:val="24"/>
          <w:szCs w:val="24"/>
          <w:lang w:val="uk-UA"/>
        </w:rPr>
        <w:t>Городоцька</w:t>
      </w:r>
      <w:proofErr w:type="spellEnd"/>
      <w:r w:rsidR="00C9710C">
        <w:rPr>
          <w:rFonts w:ascii="Times New Roman" w:hAnsi="Times New Roman" w:cs="Times New Roman"/>
          <w:sz w:val="24"/>
          <w:szCs w:val="24"/>
          <w:lang w:val="uk-UA"/>
        </w:rPr>
        <w:t xml:space="preserve"> ЦЛ» </w:t>
      </w:r>
      <w:proofErr w:type="spellStart"/>
      <w:r w:rsidR="00C9710C">
        <w:rPr>
          <w:rFonts w:ascii="Times New Roman" w:hAnsi="Times New Roman" w:cs="Times New Roman"/>
          <w:sz w:val="24"/>
          <w:szCs w:val="24"/>
          <w:lang w:val="uk-UA"/>
        </w:rPr>
        <w:t>Городоцької</w:t>
      </w:r>
      <w:proofErr w:type="spellEnd"/>
      <w:r w:rsidR="00C9710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Львівської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приймає документи, а саме:</w:t>
      </w:r>
    </w:p>
    <w:p w:rsidR="00194DB7" w:rsidRDefault="00194DB7" w:rsidP="00194DB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Додатки до передавального акту:</w:t>
      </w:r>
    </w:p>
    <w:p w:rsidR="00194DB7" w:rsidRDefault="00194DB7" w:rsidP="00194DB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699C"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  <w:r w:rsidRPr="00C4699C">
        <w:rPr>
          <w:b/>
          <w:sz w:val="24"/>
          <w:szCs w:val="24"/>
          <w:lang w:val="uk-UA"/>
        </w:rPr>
        <w:t xml:space="preserve"> </w:t>
      </w:r>
      <w:r w:rsidRPr="00C4699C">
        <w:rPr>
          <w:sz w:val="24"/>
          <w:szCs w:val="24"/>
          <w:lang w:val="uk-UA"/>
        </w:rPr>
        <w:t>«</w:t>
      </w:r>
      <w:r w:rsidR="00F74EEC">
        <w:rPr>
          <w:sz w:val="24"/>
          <w:szCs w:val="24"/>
          <w:lang w:val="uk-UA"/>
        </w:rPr>
        <w:t>Акт приймання-передачі о</w:t>
      </w:r>
      <w:r w:rsidRPr="00C4699C">
        <w:rPr>
          <w:rFonts w:ascii="Times New Roman" w:hAnsi="Times New Roman" w:cs="Times New Roman"/>
          <w:sz w:val="24"/>
          <w:szCs w:val="24"/>
          <w:lang w:val="uk-UA"/>
        </w:rPr>
        <w:t>сновних засобів</w:t>
      </w:r>
      <w:r w:rsidR="00F74EEC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C4699C">
        <w:rPr>
          <w:rFonts w:ascii="Times New Roman" w:hAnsi="Times New Roman" w:cs="Times New Roman"/>
          <w:sz w:val="24"/>
          <w:szCs w:val="24"/>
          <w:lang w:val="uk-UA"/>
        </w:rPr>
        <w:t xml:space="preserve"> інших необоротних матеріальних активів»</w:t>
      </w:r>
    </w:p>
    <w:p w:rsidR="00C9710C" w:rsidRPr="00F7573C" w:rsidRDefault="00C9710C" w:rsidP="00194DB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  <w:r w:rsidRPr="00C4699C">
        <w:rPr>
          <w:b/>
          <w:sz w:val="24"/>
          <w:szCs w:val="24"/>
          <w:lang w:val="uk-UA"/>
        </w:rPr>
        <w:t xml:space="preserve"> </w:t>
      </w:r>
      <w:r w:rsidRPr="00C4699C">
        <w:rPr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Акт приймання-передачі запасів</w:t>
      </w:r>
      <w:r w:rsidR="00F7573C" w:rsidRPr="00F7573C">
        <w:rPr>
          <w:rFonts w:ascii="Times New Roman" w:hAnsi="Times New Roman" w:cs="Times New Roman"/>
          <w:sz w:val="24"/>
          <w:szCs w:val="24"/>
        </w:rPr>
        <w:t xml:space="preserve">( </w:t>
      </w:r>
      <w:r w:rsidR="00F7573C">
        <w:rPr>
          <w:rFonts w:ascii="Times New Roman" w:hAnsi="Times New Roman" w:cs="Times New Roman"/>
          <w:sz w:val="24"/>
          <w:szCs w:val="24"/>
          <w:lang w:val="uk-UA"/>
        </w:rPr>
        <w:t>(медикаменти)</w:t>
      </w:r>
      <w:r w:rsidR="007A1841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C9710C" w:rsidRPr="00C4699C" w:rsidRDefault="000A5619" w:rsidP="00194DB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№3</w:t>
      </w:r>
      <w:r w:rsidR="00C9710C" w:rsidRPr="00C4699C">
        <w:rPr>
          <w:b/>
          <w:sz w:val="24"/>
          <w:szCs w:val="24"/>
          <w:lang w:val="uk-UA"/>
        </w:rPr>
        <w:t xml:space="preserve"> </w:t>
      </w:r>
      <w:r w:rsidR="00C9710C" w:rsidRPr="00C4699C">
        <w:rPr>
          <w:sz w:val="24"/>
          <w:szCs w:val="24"/>
          <w:lang w:val="uk-UA"/>
        </w:rPr>
        <w:t>«</w:t>
      </w:r>
      <w:r w:rsidR="00F74EEC">
        <w:rPr>
          <w:rFonts w:ascii="Times New Roman" w:hAnsi="Times New Roman" w:cs="Times New Roman"/>
          <w:sz w:val="24"/>
          <w:szCs w:val="24"/>
          <w:lang w:val="uk-UA"/>
        </w:rPr>
        <w:t xml:space="preserve">Акт приймання </w:t>
      </w:r>
      <w:proofErr w:type="spellStart"/>
      <w:r w:rsidR="00F74EEC">
        <w:rPr>
          <w:rFonts w:ascii="Times New Roman" w:hAnsi="Times New Roman" w:cs="Times New Roman"/>
          <w:sz w:val="24"/>
          <w:szCs w:val="24"/>
          <w:lang w:val="uk-UA"/>
        </w:rPr>
        <w:t>-передачі</w:t>
      </w:r>
      <w:proofErr w:type="spellEnd"/>
      <w:r w:rsidR="00F74EEC">
        <w:rPr>
          <w:rFonts w:ascii="Times New Roman" w:hAnsi="Times New Roman" w:cs="Times New Roman"/>
          <w:sz w:val="24"/>
          <w:szCs w:val="24"/>
          <w:lang w:val="uk-UA"/>
        </w:rPr>
        <w:t xml:space="preserve"> малоцінних та </w:t>
      </w:r>
      <w:proofErr w:type="spellStart"/>
      <w:r w:rsidR="00F74EEC">
        <w:rPr>
          <w:rFonts w:ascii="Times New Roman" w:hAnsi="Times New Roman" w:cs="Times New Roman"/>
          <w:sz w:val="24"/>
          <w:szCs w:val="24"/>
          <w:lang w:val="uk-UA"/>
        </w:rPr>
        <w:t>швидкозношуючих</w:t>
      </w:r>
      <w:proofErr w:type="spellEnd"/>
      <w:r w:rsidR="00F74EEC">
        <w:rPr>
          <w:rFonts w:ascii="Times New Roman" w:hAnsi="Times New Roman" w:cs="Times New Roman"/>
          <w:sz w:val="24"/>
          <w:szCs w:val="24"/>
          <w:lang w:val="uk-UA"/>
        </w:rPr>
        <w:t xml:space="preserve"> предметів»</w:t>
      </w:r>
    </w:p>
    <w:p w:rsidR="002F16F6" w:rsidRDefault="000A5619" w:rsidP="002F16F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№4 «Додатковий </w:t>
      </w:r>
      <w:r w:rsidR="00194DB7">
        <w:rPr>
          <w:rFonts w:ascii="Times New Roman" w:hAnsi="Times New Roman" w:cs="Times New Roman"/>
          <w:sz w:val="24"/>
          <w:szCs w:val="24"/>
          <w:lang w:val="uk-UA"/>
        </w:rPr>
        <w:t>капітал</w:t>
      </w:r>
      <w:r w:rsidR="00194DB7" w:rsidRPr="00C4699C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194DB7" w:rsidRPr="00194DB7" w:rsidRDefault="000A5619" w:rsidP="002F16F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№5</w:t>
      </w:r>
      <w:r w:rsidR="00194D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94DB7" w:rsidRPr="004A281C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2F16F6" w:rsidRPr="004A28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Нерозподілений прибуток (</w:t>
      </w:r>
      <w:r w:rsidR="00194DB7" w:rsidRPr="004A281C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Фінансовий результат</w:t>
      </w:r>
      <w:r w:rsidR="002F16F6" w:rsidRPr="004A281C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="00194DB7" w:rsidRPr="004A281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194DB7" w:rsidRPr="003C677B" w:rsidRDefault="00F74EEC" w:rsidP="00D63617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№6</w:t>
      </w:r>
      <w:r w:rsidR="00194DB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D3502">
        <w:rPr>
          <w:rFonts w:ascii="Times New Roman" w:hAnsi="Times New Roman" w:cs="Times New Roman"/>
          <w:sz w:val="24"/>
          <w:szCs w:val="24"/>
          <w:lang w:val="uk-UA"/>
        </w:rPr>
        <w:t>Грошові кошти</w:t>
      </w:r>
      <w:r w:rsidR="00144C6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94DB7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194DB7" w:rsidRPr="00675F89" w:rsidRDefault="00194DB7" w:rsidP="00194DB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5F89">
        <w:rPr>
          <w:rFonts w:ascii="Times New Roman" w:hAnsi="Times New Roman" w:cs="Times New Roman"/>
          <w:sz w:val="24"/>
          <w:szCs w:val="24"/>
          <w:lang w:val="uk-UA"/>
        </w:rPr>
        <w:t xml:space="preserve">Комісією з реорганізації </w:t>
      </w:r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>КНП «</w:t>
      </w:r>
      <w:proofErr w:type="spellStart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>Городоцька</w:t>
      </w:r>
      <w:proofErr w:type="spellEnd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 xml:space="preserve"> СП» </w:t>
      </w:r>
      <w:proofErr w:type="spellStart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>Городоцької</w:t>
      </w:r>
      <w:proofErr w:type="spellEnd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що припиняється, шляхом приєднання до КНП «</w:t>
      </w:r>
      <w:proofErr w:type="spellStart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>Городоцька</w:t>
      </w:r>
      <w:proofErr w:type="spellEnd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 xml:space="preserve"> ЦЛ» </w:t>
      </w:r>
      <w:proofErr w:type="spellStart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>Городоцької</w:t>
      </w:r>
      <w:proofErr w:type="spellEnd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</w:t>
      </w:r>
      <w:r w:rsidR="003C677B" w:rsidRPr="00675F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5F89">
        <w:rPr>
          <w:rFonts w:ascii="Times New Roman" w:hAnsi="Times New Roman" w:cs="Times New Roman"/>
          <w:sz w:val="24"/>
          <w:szCs w:val="24"/>
          <w:lang w:val="uk-UA"/>
        </w:rPr>
        <w:t>вчинено всі передбачені законодавством дії стосовно порядку реорганізації юридичної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5F89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3C677B" w:rsidRPr="003C67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>КНП «</w:t>
      </w:r>
      <w:proofErr w:type="spellStart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>Городоцька</w:t>
      </w:r>
      <w:proofErr w:type="spellEnd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 xml:space="preserve"> СП» </w:t>
      </w:r>
      <w:proofErr w:type="spellStart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>Городоцької</w:t>
      </w:r>
      <w:proofErr w:type="spellEnd"/>
      <w:r w:rsidR="003C677B" w:rsidRPr="00171BC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00CDB" w:rsidRDefault="00600CDB" w:rsidP="003C677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3C677B" w:rsidRDefault="003C677B" w:rsidP="003C677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0E047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Голова </w:t>
      </w:r>
      <w:proofErr w:type="spellStart"/>
      <w:r w:rsidRPr="000E047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комісії</w:t>
      </w:r>
      <w:proofErr w:type="spellEnd"/>
      <w:r w:rsidRPr="000E047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3C677B" w:rsidRPr="00600CDB" w:rsidRDefault="003C677B" w:rsidP="003C677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</w:t>
      </w:r>
      <w:proofErr w:type="spellStart"/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uk-UA"/>
        </w:rPr>
        <w:t>Матківська</w:t>
      </w:r>
      <w:proofErr w:type="spellEnd"/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uk-UA"/>
        </w:rPr>
        <w:t xml:space="preserve"> О.М.</w:t>
      </w:r>
    </w:p>
    <w:p w:rsidR="00600CDB" w:rsidRPr="00600CDB" w:rsidRDefault="00600CDB" w:rsidP="003C677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(підпис)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(ІПН 2415504863)</w:t>
      </w:r>
    </w:p>
    <w:p w:rsidR="003C677B" w:rsidRPr="009F5406" w:rsidRDefault="003C677B" w:rsidP="003C677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3C677B" w:rsidRPr="009F5406" w:rsidRDefault="003C677B" w:rsidP="003C677B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9F540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lastRenderedPageBreak/>
        <w:t>Члени комісії:</w:t>
      </w:r>
    </w:p>
    <w:p w:rsidR="003C677B" w:rsidRPr="009F5406" w:rsidRDefault="003C677B" w:rsidP="003C677B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3C677B" w:rsidRPr="009F5406" w:rsidRDefault="00600CDB" w:rsidP="003C677B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</w:t>
      </w:r>
      <w:r w:rsidR="003C677B" w:rsidRPr="009F540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ab/>
        <w:t xml:space="preserve">              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</w:t>
      </w:r>
      <w:r w:rsidR="003C677B" w:rsidRPr="009F540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</w:t>
      </w:r>
      <w:r w:rsidR="003C677B" w:rsidRPr="009F540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>Щур М.В.</w:t>
      </w:r>
    </w:p>
    <w:p w:rsidR="00600CDB" w:rsidRPr="00600CDB" w:rsidRDefault="00600CDB" w:rsidP="00600CD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(підпис)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(ІПН 3089010611)</w:t>
      </w:r>
    </w:p>
    <w:p w:rsidR="003C677B" w:rsidRPr="00600CDB" w:rsidRDefault="003C677B" w:rsidP="003C677B">
      <w:pPr>
        <w:tabs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3C677B" w:rsidRPr="00525E36" w:rsidRDefault="00600CDB" w:rsidP="003C677B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__________________</w:t>
      </w:r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ab/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</w:t>
      </w:r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 xml:space="preserve"> </w:t>
      </w:r>
      <w:proofErr w:type="spellStart"/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>Фалинський</w:t>
      </w:r>
      <w:proofErr w:type="spellEnd"/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 xml:space="preserve"> П.О.</w:t>
      </w:r>
    </w:p>
    <w:p w:rsidR="00600CDB" w:rsidRPr="00600CDB" w:rsidRDefault="00600CDB" w:rsidP="00600CD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(підпис)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(ІПН 2270405932)</w:t>
      </w:r>
    </w:p>
    <w:p w:rsidR="003C677B" w:rsidRPr="00600CDB" w:rsidRDefault="003C677B" w:rsidP="003C677B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3C677B" w:rsidRPr="00525E36" w:rsidRDefault="00600CDB" w:rsidP="003C677B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</w:t>
      </w:r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</w:t>
      </w:r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>Ткачишин М.І.</w:t>
      </w:r>
    </w:p>
    <w:p w:rsidR="00600CDB" w:rsidRPr="00600CDB" w:rsidRDefault="00600CDB" w:rsidP="00600CD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(підпис)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(ІПН 2798105762)</w:t>
      </w:r>
    </w:p>
    <w:p w:rsidR="003C677B" w:rsidRPr="00600CDB" w:rsidRDefault="003C677B" w:rsidP="003C677B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3C677B" w:rsidRPr="009F5406" w:rsidRDefault="003C677B" w:rsidP="003C677B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__________________</w:t>
      </w:r>
      <w:r w:rsidRPr="009F540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ab/>
      </w:r>
      <w:r w:rsidR="00600CDB" w:rsidRPr="009F540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</w:t>
      </w:r>
      <w:r w:rsidRPr="009F540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>Коваль Л.А.</w:t>
      </w:r>
    </w:p>
    <w:p w:rsidR="00600CDB" w:rsidRPr="00600CDB" w:rsidRDefault="00600CDB" w:rsidP="00600CD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(підпис)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(ІПН 2575605027)</w:t>
      </w:r>
    </w:p>
    <w:p w:rsidR="003C677B" w:rsidRPr="00600CDB" w:rsidRDefault="003C677B" w:rsidP="003C677B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3C677B" w:rsidRPr="00525E36" w:rsidRDefault="00600CDB" w:rsidP="003C677B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_________________</w:t>
      </w:r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ab/>
        <w:t xml:space="preserve">               </w:t>
      </w:r>
      <w:proofErr w:type="spellStart"/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>Кузик</w:t>
      </w:r>
      <w:proofErr w:type="spellEnd"/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 xml:space="preserve"> Н.В.</w:t>
      </w:r>
    </w:p>
    <w:p w:rsidR="00600CDB" w:rsidRPr="00600CDB" w:rsidRDefault="00600CDB" w:rsidP="00600CD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(підпис)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(ІПН 3102707909)</w:t>
      </w:r>
    </w:p>
    <w:p w:rsidR="003C677B" w:rsidRPr="00600CDB" w:rsidRDefault="003C677B" w:rsidP="003C677B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3C677B" w:rsidRPr="009F5406" w:rsidRDefault="00600CDB" w:rsidP="003C677B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u w:val="single"/>
          <w:lang w:val="uk-UA" w:eastAsia="uk-UA"/>
        </w:rPr>
      </w:pP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_________________</w:t>
      </w:r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ab/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</w:t>
      </w:r>
      <w:r w:rsidR="003C677B" w:rsidRPr="00525E3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 xml:space="preserve"> </w:t>
      </w:r>
      <w:r w:rsidR="003C677B" w:rsidRPr="009F540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uk-UA" w:eastAsia="uk-UA"/>
        </w:rPr>
        <w:t>Кушнір М.І.</w:t>
      </w:r>
    </w:p>
    <w:p w:rsidR="00600CDB" w:rsidRPr="00600CDB" w:rsidRDefault="00600CDB" w:rsidP="00600CDB">
      <w:pPr>
        <w:tabs>
          <w:tab w:val="left" w:pos="13191"/>
        </w:tabs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600C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525E3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(підпис)</w:t>
      </w:r>
      <w:r w:rsidRPr="00600C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00CD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00CD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(ІПН 3249907329)</w:t>
      </w:r>
    </w:p>
    <w:p w:rsidR="00F4483C" w:rsidRPr="00600CDB" w:rsidRDefault="00F4483C" w:rsidP="009A530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4483C" w:rsidRPr="00600CDB" w:rsidSect="00A36B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97D01"/>
    <w:rsid w:val="00042511"/>
    <w:rsid w:val="00062909"/>
    <w:rsid w:val="0007742F"/>
    <w:rsid w:val="000A5619"/>
    <w:rsid w:val="000B554E"/>
    <w:rsid w:val="000E6E75"/>
    <w:rsid w:val="001035F1"/>
    <w:rsid w:val="00132200"/>
    <w:rsid w:val="00132A62"/>
    <w:rsid w:val="00144C69"/>
    <w:rsid w:val="00171BC8"/>
    <w:rsid w:val="00184CA8"/>
    <w:rsid w:val="00187907"/>
    <w:rsid w:val="00194DB7"/>
    <w:rsid w:val="001A1D3B"/>
    <w:rsid w:val="00201B94"/>
    <w:rsid w:val="0021025D"/>
    <w:rsid w:val="00237371"/>
    <w:rsid w:val="00281496"/>
    <w:rsid w:val="00296759"/>
    <w:rsid w:val="002F16F6"/>
    <w:rsid w:val="003269FE"/>
    <w:rsid w:val="003857A8"/>
    <w:rsid w:val="003900A5"/>
    <w:rsid w:val="003C677B"/>
    <w:rsid w:val="003E403A"/>
    <w:rsid w:val="003F2022"/>
    <w:rsid w:val="004472DB"/>
    <w:rsid w:val="004574C7"/>
    <w:rsid w:val="004A281C"/>
    <w:rsid w:val="004C306E"/>
    <w:rsid w:val="004D52A5"/>
    <w:rsid w:val="005222C9"/>
    <w:rsid w:val="00525E36"/>
    <w:rsid w:val="00537ED9"/>
    <w:rsid w:val="00585AEB"/>
    <w:rsid w:val="00586D20"/>
    <w:rsid w:val="00600CDB"/>
    <w:rsid w:val="00605B2A"/>
    <w:rsid w:val="0063423E"/>
    <w:rsid w:val="00675F89"/>
    <w:rsid w:val="006D3502"/>
    <w:rsid w:val="007024BF"/>
    <w:rsid w:val="0072079F"/>
    <w:rsid w:val="0072213F"/>
    <w:rsid w:val="00755059"/>
    <w:rsid w:val="00761A3B"/>
    <w:rsid w:val="00766476"/>
    <w:rsid w:val="00776B5A"/>
    <w:rsid w:val="00797D01"/>
    <w:rsid w:val="007A07E6"/>
    <w:rsid w:val="007A1841"/>
    <w:rsid w:val="007B09DC"/>
    <w:rsid w:val="007C328A"/>
    <w:rsid w:val="007C7210"/>
    <w:rsid w:val="007D194F"/>
    <w:rsid w:val="007F0B5E"/>
    <w:rsid w:val="007F3155"/>
    <w:rsid w:val="008B5471"/>
    <w:rsid w:val="008E50C6"/>
    <w:rsid w:val="008F7EE4"/>
    <w:rsid w:val="009129F7"/>
    <w:rsid w:val="00921F8D"/>
    <w:rsid w:val="00936634"/>
    <w:rsid w:val="0093666C"/>
    <w:rsid w:val="00941A63"/>
    <w:rsid w:val="00953A2B"/>
    <w:rsid w:val="009612F9"/>
    <w:rsid w:val="00975629"/>
    <w:rsid w:val="009A530F"/>
    <w:rsid w:val="009B0642"/>
    <w:rsid w:val="009F3F1C"/>
    <w:rsid w:val="009F5406"/>
    <w:rsid w:val="009F5AD1"/>
    <w:rsid w:val="00A24D48"/>
    <w:rsid w:val="00A36BF5"/>
    <w:rsid w:val="00A5419A"/>
    <w:rsid w:val="00A70C5F"/>
    <w:rsid w:val="00A739F2"/>
    <w:rsid w:val="00AA66B4"/>
    <w:rsid w:val="00AE4BED"/>
    <w:rsid w:val="00B054FF"/>
    <w:rsid w:val="00B211E6"/>
    <w:rsid w:val="00B31F5C"/>
    <w:rsid w:val="00B659FB"/>
    <w:rsid w:val="00B70631"/>
    <w:rsid w:val="00B9504A"/>
    <w:rsid w:val="00BA39BE"/>
    <w:rsid w:val="00BC722C"/>
    <w:rsid w:val="00C11D95"/>
    <w:rsid w:val="00C2168D"/>
    <w:rsid w:val="00C6537D"/>
    <w:rsid w:val="00C9710C"/>
    <w:rsid w:val="00CF4DFD"/>
    <w:rsid w:val="00D10ADD"/>
    <w:rsid w:val="00D12BBF"/>
    <w:rsid w:val="00D238FC"/>
    <w:rsid w:val="00D63617"/>
    <w:rsid w:val="00D7540B"/>
    <w:rsid w:val="00DA6CDD"/>
    <w:rsid w:val="00DB402D"/>
    <w:rsid w:val="00DC285D"/>
    <w:rsid w:val="00DC5FCB"/>
    <w:rsid w:val="00E05862"/>
    <w:rsid w:val="00E133B6"/>
    <w:rsid w:val="00E20F04"/>
    <w:rsid w:val="00E33749"/>
    <w:rsid w:val="00E55FF8"/>
    <w:rsid w:val="00E7432A"/>
    <w:rsid w:val="00E872D6"/>
    <w:rsid w:val="00E91B63"/>
    <w:rsid w:val="00EA3A1D"/>
    <w:rsid w:val="00F03AD3"/>
    <w:rsid w:val="00F05ED2"/>
    <w:rsid w:val="00F14BB6"/>
    <w:rsid w:val="00F4483C"/>
    <w:rsid w:val="00F5505E"/>
    <w:rsid w:val="00F74EEC"/>
    <w:rsid w:val="00F7573C"/>
    <w:rsid w:val="00F843BD"/>
    <w:rsid w:val="00F9037B"/>
    <w:rsid w:val="00FA3636"/>
    <w:rsid w:val="00FA7FC4"/>
    <w:rsid w:val="00FB6136"/>
    <w:rsid w:val="00FC46D2"/>
    <w:rsid w:val="00FD1EBD"/>
    <w:rsid w:val="00F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D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link w:val="FR10"/>
    <w:rsid w:val="00797D01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</w:rPr>
  </w:style>
  <w:style w:type="character" w:customStyle="1" w:styleId="FR10">
    <w:name w:val="FR1 Знак"/>
    <w:link w:val="FR1"/>
    <w:rsid w:val="00797D01"/>
    <w:rPr>
      <w:rFonts w:ascii="Arial" w:eastAsia="Times New Roman" w:hAnsi="Arial" w:cs="Arial"/>
      <w:i/>
      <w:iCs/>
      <w:sz w:val="36"/>
      <w:szCs w:val="36"/>
      <w:lang w:eastAsia="ru-RU"/>
    </w:rPr>
  </w:style>
  <w:style w:type="paragraph" w:customStyle="1" w:styleId="a4">
    <w:name w:val="Нормальний текст"/>
    <w:basedOn w:val="a"/>
    <w:rsid w:val="00585AE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table" w:customStyle="1" w:styleId="TableGrid">
    <w:name w:val="TableGrid"/>
    <w:rsid w:val="007F3155"/>
    <w:pPr>
      <w:spacing w:after="0" w:line="240" w:lineRule="auto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F4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4DFD"/>
    <w:rPr>
      <w:rFonts w:ascii="Segoe UI" w:hAnsi="Segoe UI" w:cs="Segoe UI"/>
      <w:sz w:val="18"/>
      <w:szCs w:val="18"/>
    </w:rPr>
  </w:style>
  <w:style w:type="character" w:customStyle="1" w:styleId="A30">
    <w:name w:val="A3"/>
    <w:uiPriority w:val="99"/>
    <w:rsid w:val="00194DB7"/>
    <w:rPr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93AD0-2282-458A-917E-08698CC2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5808</Words>
  <Characters>3311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</dc:creator>
  <cp:lastModifiedBy>Work</cp:lastModifiedBy>
  <cp:revision>31</cp:revision>
  <cp:lastPrinted>2024-11-18T13:18:00Z</cp:lastPrinted>
  <dcterms:created xsi:type="dcterms:W3CDTF">2021-04-27T07:54:00Z</dcterms:created>
  <dcterms:modified xsi:type="dcterms:W3CDTF">2024-11-18T18:19:00Z</dcterms:modified>
</cp:coreProperties>
</file>