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6298E8C2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61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5FCE468D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  <w:r w:rsidR="006A349E">
        <w:rPr>
          <w:rFonts w:ascii="Century" w:hAnsi="Century"/>
          <w:b/>
          <w:sz w:val="36"/>
          <w:szCs w:val="36"/>
        </w:rPr>
        <w:t>25/61-8384</w:t>
      </w:r>
    </w:p>
    <w:p w14:paraId="2773E310" w14:textId="4680EE9C" w:rsidR="004024D5" w:rsidRPr="00307130" w:rsidRDefault="00662CA2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color w:val="FF0000"/>
          <w:sz w:val="28"/>
          <w:szCs w:val="28"/>
        </w:rPr>
        <w:t>20 березня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F5382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F5382D">
      <w:pPr>
        <w:pStyle w:val="a6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proofErr w:type="spellStart"/>
      <w:r w:rsidRPr="00662CA2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662CA2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</w:t>
      </w:r>
    </w:p>
    <w:p w14:paraId="50AEA0E3" w14:textId="5DFC6C3A" w:rsidR="007157A7" w:rsidRPr="006E2E75" w:rsidRDefault="000E716F" w:rsidP="00F5382D">
      <w:pPr>
        <w:pStyle w:val="a6"/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proofErr w:type="spellEnd"/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F5382D">
      <w:pPr>
        <w:pStyle w:val="a6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7F8F314E" w:rsidR="00F054F1" w:rsidRPr="00B128C5" w:rsidRDefault="00A663F9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20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>
        <w:rPr>
          <w:rFonts w:ascii="Century" w:eastAsia="Calibri" w:hAnsi="Century" w:cs="Times New Roman"/>
          <w:b/>
          <w:color w:val="FF0000"/>
          <w:sz w:val="28"/>
          <w:szCs w:val="28"/>
        </w:rPr>
        <w:t>3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</w:t>
      </w:r>
      <w:r w:rsidR="006A349E">
        <w:rPr>
          <w:rFonts w:ascii="Century" w:eastAsia="Calibri" w:hAnsi="Century" w:cs="Times New Roman"/>
          <w:b/>
          <w:color w:val="FF0000"/>
          <w:sz w:val="28"/>
          <w:szCs w:val="28"/>
        </w:rPr>
        <w:t>25/61-8384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391"/>
        <w:gridCol w:w="1369"/>
        <w:gridCol w:w="1152"/>
        <w:gridCol w:w="2118"/>
      </w:tblGrid>
      <w:tr w:rsidR="001A1728" w:rsidRPr="00E2667A" w14:paraId="24CBF05D" w14:textId="77777777" w:rsidTr="00960DF8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A1728" w:rsidRPr="00E2667A" w14:paraId="6691B452" w14:textId="77777777" w:rsidTr="00876CF4">
        <w:trPr>
          <w:trHeight w:val="3551"/>
        </w:trPr>
        <w:tc>
          <w:tcPr>
            <w:tcW w:w="598" w:type="dxa"/>
            <w:noWrap/>
            <w:hideMark/>
          </w:tcPr>
          <w:p w14:paraId="3ED0EF0F" w14:textId="5CB539E9" w:rsidR="00F054F1" w:rsidRPr="00E85593" w:rsidRDefault="00F054F1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  <w:hideMark/>
          </w:tcPr>
          <w:p w14:paraId="706FF307" w14:textId="70107238" w:rsidR="00F054F1" w:rsidRPr="00E2667A" w:rsidRDefault="00D512F2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 щодо поділу</w:t>
            </w:r>
            <w:r w:rsidR="009B4FC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та об</w:t>
            </w:r>
            <w:r w:rsidR="009B4FC0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>’</w:t>
            </w:r>
            <w:r w:rsidR="009B4FC0">
              <w:rPr>
                <w:rFonts w:ascii="Century" w:eastAsia="Calibri" w:hAnsi="Century" w:cs="Times New Roman"/>
                <w:bCs/>
                <w:sz w:val="26"/>
                <w:szCs w:val="26"/>
              </w:rPr>
              <w:t>єднання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земельної ділянки</w:t>
            </w:r>
            <w:r w:rsidR="009B4FC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>комунальної власності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площею 13,1808 га з 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>кадастрови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>м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номер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>ом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462098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>72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>00: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>17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>:000:00</w:t>
            </w:r>
            <w:r w:rsidR="00165036">
              <w:rPr>
                <w:rFonts w:ascii="Century" w:eastAsia="Calibri" w:hAnsi="Century" w:cs="Times New Roman"/>
                <w:bCs/>
                <w:sz w:val="26"/>
                <w:szCs w:val="26"/>
              </w:rPr>
              <w:t>13</w:t>
            </w:r>
            <w:r w:rsidRPr="00D512F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на території Городоцької міської ради Львівського району Львівської області</w:t>
            </w:r>
          </w:p>
        </w:tc>
        <w:tc>
          <w:tcPr>
            <w:tcW w:w="1369" w:type="dxa"/>
            <w:noWrap/>
            <w:hideMark/>
          </w:tcPr>
          <w:p w14:paraId="1A392E7E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1CB58EB" w14:textId="4959FBF3" w:rsidR="009C68EF" w:rsidRPr="00E2667A" w:rsidRDefault="009C68E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890" w:type="dxa"/>
            <w:noWrap/>
            <w:hideMark/>
          </w:tcPr>
          <w:p w14:paraId="19B038CB" w14:textId="77777777" w:rsidR="00F054F1" w:rsidRDefault="00F054F1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1EEF23" w14:textId="6F7A7B71" w:rsidR="009C68EF" w:rsidRPr="00E2667A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2118" w:type="dxa"/>
            <w:hideMark/>
          </w:tcPr>
          <w:p w14:paraId="10BDD541" w14:textId="77777777" w:rsidR="00F054F1" w:rsidRPr="00E2667A" w:rsidRDefault="00F054F1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6C89F3" w14:textId="77777777" w:rsidR="006051AC" w:rsidRPr="00E2667A" w:rsidRDefault="006051AC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C8DB4B" w14:textId="6EDBA6AB" w:rsidR="006051AC" w:rsidRPr="00E2667A" w:rsidRDefault="00E2667A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B128C5"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B128C5" w:rsidRPr="00E2667A" w14:paraId="631996E9" w14:textId="77777777" w:rsidTr="00876CF4">
        <w:trPr>
          <w:trHeight w:val="3551"/>
        </w:trPr>
        <w:tc>
          <w:tcPr>
            <w:tcW w:w="598" w:type="dxa"/>
            <w:noWrap/>
          </w:tcPr>
          <w:p w14:paraId="6C2FCEFC" w14:textId="54787C69" w:rsidR="00B128C5" w:rsidRPr="00E85593" w:rsidRDefault="00775B28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3" w:type="dxa"/>
          </w:tcPr>
          <w:p w14:paraId="012486F2" w14:textId="62D4EA5C" w:rsidR="00B128C5" w:rsidRPr="00D512F2" w:rsidRDefault="00B128C5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B128C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поділу земельної ділянки комунальної власності  площею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2,7228</w:t>
            </w:r>
            <w:r w:rsidRPr="00B128C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га з кадастровим номером 46209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830</w:t>
            </w:r>
            <w:r w:rsidRPr="00B128C5">
              <w:rPr>
                <w:rFonts w:ascii="Century" w:eastAsia="Calibri" w:hAnsi="Century" w:cs="Times New Roman"/>
                <w:bCs/>
                <w:sz w:val="26"/>
                <w:szCs w:val="26"/>
              </w:rPr>
              <w:t>00: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24</w:t>
            </w:r>
            <w:r w:rsidRPr="00B128C5">
              <w:rPr>
                <w:rFonts w:ascii="Century" w:eastAsia="Calibri" w:hAnsi="Century" w:cs="Times New Roman"/>
                <w:bCs/>
                <w:sz w:val="26"/>
                <w:szCs w:val="26"/>
              </w:rPr>
              <w:t>:000:00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46</w:t>
            </w:r>
            <w:r w:rsidRPr="00B128C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на території Городоцької міської ради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4B8A4AD7" w14:textId="77777777" w:rsidR="00B128C5" w:rsidRDefault="00B128C5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59ACE1" w14:textId="4AE1AA5A" w:rsidR="009C68EF" w:rsidRPr="00E2667A" w:rsidRDefault="009C68E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890" w:type="dxa"/>
            <w:noWrap/>
          </w:tcPr>
          <w:p w14:paraId="1E2DC397" w14:textId="77777777" w:rsidR="00B128C5" w:rsidRDefault="00B128C5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84A3212" w14:textId="2D380E75" w:rsidR="009C68EF" w:rsidRPr="00E2667A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2118" w:type="dxa"/>
          </w:tcPr>
          <w:p w14:paraId="65EB8793" w14:textId="77777777" w:rsidR="00775B28" w:rsidRPr="00775B28" w:rsidRDefault="00775B28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75B28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7BD033F" w14:textId="77777777" w:rsidR="00775B28" w:rsidRPr="00775B28" w:rsidRDefault="00775B28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6FA4FE" w14:textId="4932507E" w:rsidR="00B128C5" w:rsidRPr="00E2667A" w:rsidRDefault="00775B28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75B28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694D31" w:rsidRPr="00E2667A" w14:paraId="3BC9BC03" w14:textId="77777777" w:rsidTr="005965FB">
        <w:trPr>
          <w:trHeight w:val="1124"/>
        </w:trPr>
        <w:tc>
          <w:tcPr>
            <w:tcW w:w="598" w:type="dxa"/>
            <w:noWrap/>
          </w:tcPr>
          <w:p w14:paraId="696ABE65" w14:textId="6C1C8272" w:rsidR="0035698A" w:rsidRDefault="001C747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53" w:type="dxa"/>
          </w:tcPr>
          <w:p w14:paraId="3F171C9B" w14:textId="1E85A604" w:rsidR="00694D31" w:rsidRPr="00B128C5" w:rsidRDefault="005965FB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Відшкодування витрат ПП «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Фірма»СОМГІЗ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» за рахунок Городоцької міської ради витрачені кошти на підготовку лоту до проведення земельних  торгів із продажу права  земельної ділянки сільськогосподарського призначення, площею 2,8000 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га,що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розташована за 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адресою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 Львівська 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обл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.,Львівський р-н,  Городоцька міська рада  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>с.Велика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Калинка (за межами населеного пункту), кадастровий номер :4620983900:21:000:0117</w:t>
            </w:r>
          </w:p>
        </w:tc>
        <w:tc>
          <w:tcPr>
            <w:tcW w:w="1369" w:type="dxa"/>
            <w:noWrap/>
          </w:tcPr>
          <w:p w14:paraId="0A91D070" w14:textId="77777777" w:rsidR="00694D31" w:rsidRDefault="00694D31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4B14012" w14:textId="6DCC9428" w:rsidR="00A663F9" w:rsidRPr="00E2667A" w:rsidRDefault="00A663F9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15263</w:t>
            </w:r>
          </w:p>
        </w:tc>
        <w:tc>
          <w:tcPr>
            <w:tcW w:w="890" w:type="dxa"/>
            <w:noWrap/>
          </w:tcPr>
          <w:p w14:paraId="1EE7785D" w14:textId="77777777" w:rsidR="00694D31" w:rsidRDefault="00694D31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EF3E39B" w14:textId="4EF8CA90" w:rsidR="00AA1ADC" w:rsidRPr="00E2667A" w:rsidRDefault="00AA1ADC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A1ADC">
              <w:rPr>
                <w:rFonts w:ascii="Century" w:eastAsia="Calibri" w:hAnsi="Century" w:cs="Times New Roman"/>
                <w:bCs/>
                <w:sz w:val="26"/>
                <w:szCs w:val="26"/>
              </w:rPr>
              <w:t>15263</w:t>
            </w:r>
          </w:p>
        </w:tc>
        <w:tc>
          <w:tcPr>
            <w:tcW w:w="2118" w:type="dxa"/>
          </w:tcPr>
          <w:p w14:paraId="784BF3B7" w14:textId="77777777" w:rsidR="009C68EF" w:rsidRPr="009C68EF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4D1A90C" w14:textId="77777777" w:rsidR="009C68EF" w:rsidRPr="009C68EF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D6F8EE4" w14:textId="7D47E7E0" w:rsidR="00694D31" w:rsidRPr="00775B28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9C68EF" w:rsidRPr="00E2667A" w14:paraId="5D4A1772" w14:textId="77777777" w:rsidTr="00876CF4">
        <w:trPr>
          <w:trHeight w:val="3551"/>
        </w:trPr>
        <w:tc>
          <w:tcPr>
            <w:tcW w:w="598" w:type="dxa"/>
            <w:noWrap/>
          </w:tcPr>
          <w:p w14:paraId="5A03CD1A" w14:textId="1CC53744" w:rsidR="009C68EF" w:rsidRDefault="001C747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653" w:type="dxa"/>
          </w:tcPr>
          <w:p w14:paraId="5EE03E34" w14:textId="2D420F23" w:rsidR="009C68EF" w:rsidRDefault="005965FB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Відшкодування витрат ПП «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Фірма»СОМГІЗ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» за рахунок Городоцької міської ради витрачені кошти на підготовку лоту до проведення земельних  торгів із продажу права  земельної ділянки сільськогосподарського призначення, площею 12,0000 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га,що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розташована за 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адресою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 Львівська 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обл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.,Львівський р-н,  Городоцька міська рада  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с.Велика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Калинка (за межами населеного пункту), кадастровий номер :4620983900:11:000:0066</w:t>
            </w:r>
          </w:p>
        </w:tc>
        <w:tc>
          <w:tcPr>
            <w:tcW w:w="1369" w:type="dxa"/>
            <w:noWrap/>
          </w:tcPr>
          <w:p w14:paraId="79AE7F53" w14:textId="77777777" w:rsidR="00AA1ADC" w:rsidRDefault="00AA1ADC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BBF2FF9" w14:textId="588BFE14" w:rsidR="009C68EF" w:rsidRPr="00E2667A" w:rsidRDefault="00A663F9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16316</w:t>
            </w:r>
          </w:p>
        </w:tc>
        <w:tc>
          <w:tcPr>
            <w:tcW w:w="890" w:type="dxa"/>
            <w:noWrap/>
          </w:tcPr>
          <w:p w14:paraId="103A3D70" w14:textId="77777777" w:rsidR="009C68EF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0A0508D" w14:textId="4CE5975E" w:rsidR="00AA1ADC" w:rsidRPr="00E2667A" w:rsidRDefault="00AA1ADC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A1ADC">
              <w:rPr>
                <w:rFonts w:ascii="Century" w:eastAsia="Calibri" w:hAnsi="Century" w:cs="Times New Roman"/>
                <w:bCs/>
                <w:sz w:val="26"/>
                <w:szCs w:val="26"/>
              </w:rPr>
              <w:t>16316</w:t>
            </w:r>
          </w:p>
        </w:tc>
        <w:tc>
          <w:tcPr>
            <w:tcW w:w="2118" w:type="dxa"/>
          </w:tcPr>
          <w:p w14:paraId="09FFCD52" w14:textId="77777777" w:rsidR="009C68EF" w:rsidRPr="009C68EF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57478AA" w14:textId="77777777" w:rsidR="009C68EF" w:rsidRPr="009C68EF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13F1D0C" w14:textId="2F905727" w:rsidR="009C68EF" w:rsidRPr="00775B28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9C68EF" w:rsidRPr="00E2667A" w14:paraId="59C0907D" w14:textId="77777777" w:rsidTr="00876CF4">
        <w:trPr>
          <w:trHeight w:val="3551"/>
        </w:trPr>
        <w:tc>
          <w:tcPr>
            <w:tcW w:w="598" w:type="dxa"/>
            <w:noWrap/>
          </w:tcPr>
          <w:p w14:paraId="4D9301F5" w14:textId="54E5FC40" w:rsidR="009C68EF" w:rsidRDefault="001C747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53" w:type="dxa"/>
          </w:tcPr>
          <w:p w14:paraId="1BBEE7A0" w14:textId="607D8334" w:rsidR="009C68EF" w:rsidRPr="009C68EF" w:rsidRDefault="005965FB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Відшкодування витрат, ПП «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Фірма»СОМГІЗ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» за рахунок Городоцької міської ради витрачені кошти, на підготовку лоту до проведення земельних  торгів із продажу права  земельної ділянки сільськогосподарського призначення, площею 15,0000 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га,що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розташована за 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адресою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 Львівська 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обл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.,Львівський р-н,  Городоцька міська рада  </w:t>
            </w:r>
            <w:proofErr w:type="spellStart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>с.Велика</w:t>
            </w:r>
            <w:proofErr w:type="spellEnd"/>
            <w:r w:rsidRPr="005965F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Калинка (за межами населеного пункту), кадастровий номер :4620983900:05:000:0023</w:t>
            </w:r>
          </w:p>
        </w:tc>
        <w:tc>
          <w:tcPr>
            <w:tcW w:w="1369" w:type="dxa"/>
            <w:noWrap/>
          </w:tcPr>
          <w:p w14:paraId="2FD18204" w14:textId="77777777" w:rsidR="009C68EF" w:rsidRDefault="009C68E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5C8B3E1" w14:textId="2D7EB4B7" w:rsidR="00A663F9" w:rsidRPr="00E2667A" w:rsidRDefault="00A663F9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17330</w:t>
            </w:r>
          </w:p>
        </w:tc>
        <w:tc>
          <w:tcPr>
            <w:tcW w:w="890" w:type="dxa"/>
            <w:noWrap/>
          </w:tcPr>
          <w:p w14:paraId="4CCE3610" w14:textId="77777777" w:rsidR="009C68EF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FA96E8A" w14:textId="435E165C" w:rsidR="00AA1ADC" w:rsidRPr="00E2667A" w:rsidRDefault="00AA1ADC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A1ADC">
              <w:rPr>
                <w:rFonts w:ascii="Century" w:eastAsia="Calibri" w:hAnsi="Century" w:cs="Times New Roman"/>
                <w:bCs/>
                <w:sz w:val="26"/>
                <w:szCs w:val="26"/>
              </w:rPr>
              <w:t>17330</w:t>
            </w:r>
          </w:p>
        </w:tc>
        <w:tc>
          <w:tcPr>
            <w:tcW w:w="2118" w:type="dxa"/>
          </w:tcPr>
          <w:p w14:paraId="41812A6D" w14:textId="77777777" w:rsidR="009C68EF" w:rsidRPr="009C68EF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3457449" w14:textId="77777777" w:rsidR="009C68EF" w:rsidRPr="009C68EF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2029FFE" w14:textId="33CBDA7E" w:rsidR="009C68EF" w:rsidRPr="00775B28" w:rsidRDefault="009C68EF" w:rsidP="009C68E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9C68EF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DF47C2" w:rsidRPr="00E2667A" w14:paraId="42CB6C8A" w14:textId="77777777" w:rsidTr="00DF47C2">
        <w:trPr>
          <w:trHeight w:val="1507"/>
        </w:trPr>
        <w:tc>
          <w:tcPr>
            <w:tcW w:w="598" w:type="dxa"/>
            <w:noWrap/>
          </w:tcPr>
          <w:p w14:paraId="38BA3E4C" w14:textId="160B0735" w:rsidR="00DF47C2" w:rsidRDefault="001C747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653" w:type="dxa"/>
          </w:tcPr>
          <w:p w14:paraId="5BF4A9D2" w14:textId="1888B163" w:rsidR="00DF47C2" w:rsidRPr="009C68EF" w:rsidRDefault="00DF47C2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F47C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землеустрою щодо встановлення (зміни) меж населеного пункту села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Велика Калинка</w:t>
            </w:r>
            <w:r w:rsidRPr="00DF47C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Львівської області</w:t>
            </w:r>
          </w:p>
        </w:tc>
        <w:tc>
          <w:tcPr>
            <w:tcW w:w="1369" w:type="dxa"/>
            <w:noWrap/>
          </w:tcPr>
          <w:p w14:paraId="5423D0AD" w14:textId="1DB9F8D5" w:rsidR="00DF47C2" w:rsidRDefault="001C747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890" w:type="dxa"/>
            <w:noWrap/>
          </w:tcPr>
          <w:p w14:paraId="7D09728E" w14:textId="7043AE52" w:rsidR="00DF47C2" w:rsidRDefault="001C747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2118" w:type="dxa"/>
          </w:tcPr>
          <w:p w14:paraId="4E857EC8" w14:textId="77777777" w:rsidR="001C747F" w:rsidRPr="001C747F" w:rsidRDefault="001C747F" w:rsidP="001C747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C747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25D9BCA" w14:textId="77777777" w:rsidR="001C747F" w:rsidRPr="001C747F" w:rsidRDefault="001C747F" w:rsidP="001C747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E7CBF7F" w14:textId="0C2E8C1F" w:rsidR="00DF47C2" w:rsidRPr="009C68EF" w:rsidRDefault="001C747F" w:rsidP="001C747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C747F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1A1728" w:rsidRPr="00E2667A" w14:paraId="3A69090E" w14:textId="77777777" w:rsidTr="00960DF8">
        <w:trPr>
          <w:trHeight w:val="793"/>
        </w:trPr>
        <w:tc>
          <w:tcPr>
            <w:tcW w:w="598" w:type="dxa"/>
            <w:noWrap/>
            <w:hideMark/>
          </w:tcPr>
          <w:p w14:paraId="41C6F8C6" w14:textId="77777777" w:rsidR="00F054F1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5CE1D245" w14:textId="77777777" w:rsidR="009B4FC0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1087A58F" w14:textId="11779990" w:rsidR="009B4FC0" w:rsidRPr="00E2667A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163FEF8D" w14:textId="77777777" w:rsidR="00AA1ADC" w:rsidRDefault="00AA1ADC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3EE726CE" w14:textId="5DD6D897" w:rsidR="00F054F1" w:rsidRPr="00E2667A" w:rsidRDefault="00CA7302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2B13B009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44C88E18" w14:textId="5EAABF8C" w:rsidR="00AA1ADC" w:rsidRPr="00E2667A" w:rsidRDefault="001C747F" w:rsidP="001C747F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11</w:t>
            </w:r>
            <w:r w:rsidR="00AA1ADC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8909</w:t>
            </w:r>
          </w:p>
        </w:tc>
        <w:tc>
          <w:tcPr>
            <w:tcW w:w="890" w:type="dxa"/>
            <w:noWrap/>
          </w:tcPr>
          <w:p w14:paraId="4E0BBAAB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5CFFFFB7" w14:textId="3243BFA9" w:rsidR="00AA1ADC" w:rsidRPr="00E2667A" w:rsidRDefault="001C747F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11</w:t>
            </w:r>
            <w:r w:rsidR="00AA1ADC" w:rsidRPr="00AA1ADC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8909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94A9003" w14:textId="6E042BFF" w:rsidR="00635061" w:rsidRDefault="00635061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0A5AE13B" w14:textId="3C2102C7" w:rsidR="00F44054" w:rsidRPr="00F22182" w:rsidRDefault="00F44054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>Микола ЛУПІЙ</w:t>
      </w:r>
    </w:p>
    <w:sectPr w:rsidR="00F44054" w:rsidRPr="00F22182" w:rsidSect="00F44054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C4C84" w14:textId="77777777" w:rsidR="001B7F9B" w:rsidRDefault="001B7F9B" w:rsidP="0046587D">
      <w:pPr>
        <w:spacing w:after="0" w:line="240" w:lineRule="auto"/>
      </w:pPr>
      <w:r>
        <w:separator/>
      </w:r>
    </w:p>
  </w:endnote>
  <w:endnote w:type="continuationSeparator" w:id="0">
    <w:p w14:paraId="4148614D" w14:textId="77777777" w:rsidR="001B7F9B" w:rsidRDefault="001B7F9B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AA3F8" w14:textId="77777777" w:rsidR="001B7F9B" w:rsidRDefault="001B7F9B" w:rsidP="0046587D">
      <w:pPr>
        <w:spacing w:after="0" w:line="240" w:lineRule="auto"/>
      </w:pPr>
      <w:r>
        <w:separator/>
      </w:r>
    </w:p>
  </w:footnote>
  <w:footnote w:type="continuationSeparator" w:id="0">
    <w:p w14:paraId="74C511B9" w14:textId="77777777" w:rsidR="001B7F9B" w:rsidRDefault="001B7F9B" w:rsidP="0046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2783008"/>
      <w:docPartObj>
        <w:docPartGallery w:val="Page Numbers (Top of Page)"/>
        <w:docPartUnique/>
      </w:docPartObj>
    </w:sdtPr>
    <w:sdtContent>
      <w:p w14:paraId="7AA86695" w14:textId="7EAF9D00" w:rsidR="00F44054" w:rsidRDefault="00F440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CE2E62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8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9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00819"/>
    <w:rsid w:val="00047C26"/>
    <w:rsid w:val="000817C9"/>
    <w:rsid w:val="000A2369"/>
    <w:rsid w:val="000C5DB7"/>
    <w:rsid w:val="000E6DA6"/>
    <w:rsid w:val="000E716F"/>
    <w:rsid w:val="00113DB0"/>
    <w:rsid w:val="001215C0"/>
    <w:rsid w:val="00144481"/>
    <w:rsid w:val="00165036"/>
    <w:rsid w:val="00175635"/>
    <w:rsid w:val="001A1728"/>
    <w:rsid w:val="001B65DE"/>
    <w:rsid w:val="001B7F9B"/>
    <w:rsid w:val="001C747F"/>
    <w:rsid w:val="001D4159"/>
    <w:rsid w:val="001F5B9F"/>
    <w:rsid w:val="00216A9F"/>
    <w:rsid w:val="002302F6"/>
    <w:rsid w:val="0029515C"/>
    <w:rsid w:val="002D4CD5"/>
    <w:rsid w:val="003035E2"/>
    <w:rsid w:val="00307130"/>
    <w:rsid w:val="0035698A"/>
    <w:rsid w:val="00366325"/>
    <w:rsid w:val="003821D6"/>
    <w:rsid w:val="003A1B24"/>
    <w:rsid w:val="003C7BA5"/>
    <w:rsid w:val="003D7463"/>
    <w:rsid w:val="003E5365"/>
    <w:rsid w:val="004024D5"/>
    <w:rsid w:val="00423997"/>
    <w:rsid w:val="0046587D"/>
    <w:rsid w:val="004B171B"/>
    <w:rsid w:val="004E2604"/>
    <w:rsid w:val="005313A2"/>
    <w:rsid w:val="005316D4"/>
    <w:rsid w:val="00534111"/>
    <w:rsid w:val="0056648C"/>
    <w:rsid w:val="005741CC"/>
    <w:rsid w:val="005965FB"/>
    <w:rsid w:val="005A16D2"/>
    <w:rsid w:val="005D0919"/>
    <w:rsid w:val="005E46EB"/>
    <w:rsid w:val="006051AC"/>
    <w:rsid w:val="00614D3E"/>
    <w:rsid w:val="00635061"/>
    <w:rsid w:val="00641A51"/>
    <w:rsid w:val="0064739C"/>
    <w:rsid w:val="00650117"/>
    <w:rsid w:val="00651B89"/>
    <w:rsid w:val="00662CA2"/>
    <w:rsid w:val="00670F6C"/>
    <w:rsid w:val="00685FD7"/>
    <w:rsid w:val="00694248"/>
    <w:rsid w:val="00694D31"/>
    <w:rsid w:val="00695C20"/>
    <w:rsid w:val="006A349E"/>
    <w:rsid w:val="006B399A"/>
    <w:rsid w:val="006D4DC8"/>
    <w:rsid w:val="006E2E75"/>
    <w:rsid w:val="007157A7"/>
    <w:rsid w:val="007170C4"/>
    <w:rsid w:val="007457DC"/>
    <w:rsid w:val="00775B28"/>
    <w:rsid w:val="0078466E"/>
    <w:rsid w:val="007A794A"/>
    <w:rsid w:val="007B3F90"/>
    <w:rsid w:val="007B6EE7"/>
    <w:rsid w:val="007F3B26"/>
    <w:rsid w:val="00814510"/>
    <w:rsid w:val="008400FB"/>
    <w:rsid w:val="00863EF9"/>
    <w:rsid w:val="00876CF4"/>
    <w:rsid w:val="00877F44"/>
    <w:rsid w:val="008C5449"/>
    <w:rsid w:val="008E08B8"/>
    <w:rsid w:val="00913028"/>
    <w:rsid w:val="009406FF"/>
    <w:rsid w:val="00960DF8"/>
    <w:rsid w:val="00976C31"/>
    <w:rsid w:val="00983994"/>
    <w:rsid w:val="009961C3"/>
    <w:rsid w:val="009A2290"/>
    <w:rsid w:val="009B4FC0"/>
    <w:rsid w:val="009C68EF"/>
    <w:rsid w:val="009E4D1F"/>
    <w:rsid w:val="00A0036C"/>
    <w:rsid w:val="00A0371D"/>
    <w:rsid w:val="00A45A08"/>
    <w:rsid w:val="00A52B61"/>
    <w:rsid w:val="00A663F9"/>
    <w:rsid w:val="00A900CE"/>
    <w:rsid w:val="00AA1ADC"/>
    <w:rsid w:val="00AA49D7"/>
    <w:rsid w:val="00AA6EDC"/>
    <w:rsid w:val="00AB51F9"/>
    <w:rsid w:val="00AC2F9F"/>
    <w:rsid w:val="00AC3B85"/>
    <w:rsid w:val="00AE52E5"/>
    <w:rsid w:val="00AE77B4"/>
    <w:rsid w:val="00B128C5"/>
    <w:rsid w:val="00B242D2"/>
    <w:rsid w:val="00B412D6"/>
    <w:rsid w:val="00B80817"/>
    <w:rsid w:val="00B84AA0"/>
    <w:rsid w:val="00C50E65"/>
    <w:rsid w:val="00C60BBF"/>
    <w:rsid w:val="00C8610D"/>
    <w:rsid w:val="00CA7302"/>
    <w:rsid w:val="00CB77E5"/>
    <w:rsid w:val="00CD3B8F"/>
    <w:rsid w:val="00CE3455"/>
    <w:rsid w:val="00CF0569"/>
    <w:rsid w:val="00CF0920"/>
    <w:rsid w:val="00D011D9"/>
    <w:rsid w:val="00D17C14"/>
    <w:rsid w:val="00D26F09"/>
    <w:rsid w:val="00D512F2"/>
    <w:rsid w:val="00D5771B"/>
    <w:rsid w:val="00D75D2E"/>
    <w:rsid w:val="00D8646F"/>
    <w:rsid w:val="00DB7704"/>
    <w:rsid w:val="00DE2708"/>
    <w:rsid w:val="00DE2BAD"/>
    <w:rsid w:val="00DF47C2"/>
    <w:rsid w:val="00E247D2"/>
    <w:rsid w:val="00E2667A"/>
    <w:rsid w:val="00E45612"/>
    <w:rsid w:val="00E501B3"/>
    <w:rsid w:val="00E842CD"/>
    <w:rsid w:val="00E85593"/>
    <w:rsid w:val="00EC0D34"/>
    <w:rsid w:val="00EC0E5A"/>
    <w:rsid w:val="00EE7BBA"/>
    <w:rsid w:val="00F054F1"/>
    <w:rsid w:val="00F22182"/>
    <w:rsid w:val="00F24EBB"/>
    <w:rsid w:val="00F31500"/>
    <w:rsid w:val="00F35958"/>
    <w:rsid w:val="00F44054"/>
    <w:rsid w:val="00F46949"/>
    <w:rsid w:val="00F5382D"/>
    <w:rsid w:val="00F65384"/>
    <w:rsid w:val="00F83836"/>
    <w:rsid w:val="00F94B8A"/>
    <w:rsid w:val="00F95E59"/>
    <w:rsid w:val="00F96E21"/>
    <w:rsid w:val="00FA66BB"/>
    <w:rsid w:val="00FD3DBA"/>
    <w:rsid w:val="00FD49AE"/>
    <w:rsid w:val="00FD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2545</Words>
  <Characters>1452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2</cp:revision>
  <cp:lastPrinted>2024-12-10T07:08:00Z</cp:lastPrinted>
  <dcterms:created xsi:type="dcterms:W3CDTF">2025-03-21T10:33:00Z</dcterms:created>
  <dcterms:modified xsi:type="dcterms:W3CDTF">2025-03-21T10:33:00Z</dcterms:modified>
</cp:coreProperties>
</file>