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6E" w:rsidRDefault="00CE09FE" w:rsidP="00CE09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Гуманітарне управління</w:t>
      </w:r>
    </w:p>
    <w:p w:rsidR="00CE09FE" w:rsidRDefault="00CE09FE" w:rsidP="00CE09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Городоцької міської ради Львівської області</w:t>
      </w:r>
    </w:p>
    <w:p w:rsidR="00CE09FE" w:rsidRDefault="00CE09FE" w:rsidP="00CE09FE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CE09FE" w:rsidRDefault="00CE09FE" w:rsidP="00CE0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ОБҐРУНТУВАННЯ</w:t>
      </w:r>
    </w:p>
    <w:p w:rsidR="00CE09FE" w:rsidRPr="00CE09FE" w:rsidRDefault="00CE09FE" w:rsidP="00CE09F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09FE">
        <w:rPr>
          <w:rFonts w:ascii="Times New Roman" w:eastAsia="Calibri" w:hAnsi="Times New Roman" w:cs="Times New Roman"/>
          <w:b/>
          <w:sz w:val="24"/>
          <w:szCs w:val="24"/>
        </w:rPr>
        <w:t>технічних та якісних характеристик закупівлі природнього газу, розміру бюджетного призначення, очікуваної вартості предмета закупівлі</w:t>
      </w:r>
      <w:r w:rsidRPr="00CE09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09FE" w:rsidRDefault="00CE09FE" w:rsidP="00CE09FE">
      <w:pPr>
        <w:jc w:val="center"/>
        <w:rPr>
          <w:rFonts w:ascii="Times New Roman" w:hAnsi="Times New Roman" w:cs="Times New Roman"/>
          <w:b/>
          <w:sz w:val="28"/>
        </w:rPr>
      </w:pPr>
    </w:p>
    <w:p w:rsidR="00CE09FE" w:rsidRPr="00CE09FE" w:rsidRDefault="00CE09FE" w:rsidP="00CE09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E09FE">
        <w:rPr>
          <w:rFonts w:ascii="Times New Roman" w:hAnsi="Times New Roman" w:cs="Times New Roman"/>
          <w:b/>
          <w:sz w:val="28"/>
        </w:rPr>
        <w:t>Найменування, місцезнаходження та ідентифікаційний код замовни</w:t>
      </w:r>
      <w:r>
        <w:rPr>
          <w:rFonts w:ascii="Times New Roman" w:hAnsi="Times New Roman" w:cs="Times New Roman"/>
          <w:b/>
          <w:sz w:val="28"/>
        </w:rPr>
        <w:t xml:space="preserve">ка в Єдиному державному реєстрі </w:t>
      </w:r>
      <w:r w:rsidRPr="00CE09FE">
        <w:rPr>
          <w:rFonts w:ascii="Times New Roman" w:hAnsi="Times New Roman" w:cs="Times New Roman"/>
          <w:b/>
          <w:sz w:val="28"/>
        </w:rPr>
        <w:t>юридичних осіб, фізичних осіб — підприємців та громадських формувань, його категорія: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E09FE">
        <w:rPr>
          <w:rFonts w:ascii="Times New Roman" w:hAnsi="Times New Roman" w:cs="Times New Roman"/>
          <w:sz w:val="28"/>
        </w:rPr>
        <w:t>Гуманітарне управління Городоцької міської ради Львівської області,</w:t>
      </w:r>
      <w:r w:rsidR="00AC724F">
        <w:rPr>
          <w:rFonts w:ascii="Times New Roman" w:hAnsi="Times New Roman" w:cs="Times New Roman"/>
          <w:sz w:val="28"/>
        </w:rPr>
        <w:t xml:space="preserve"> що знаходиться за </w:t>
      </w:r>
      <w:proofErr w:type="spellStart"/>
      <w:r w:rsidR="00AC724F">
        <w:rPr>
          <w:rFonts w:ascii="Times New Roman" w:hAnsi="Times New Roman" w:cs="Times New Roman"/>
          <w:sz w:val="28"/>
        </w:rPr>
        <w:t>адресою</w:t>
      </w:r>
      <w:proofErr w:type="spellEnd"/>
      <w:r w:rsidR="00AC724F">
        <w:rPr>
          <w:rFonts w:ascii="Times New Roman" w:hAnsi="Times New Roman" w:cs="Times New Roman"/>
          <w:sz w:val="28"/>
        </w:rPr>
        <w:t>:</w:t>
      </w:r>
      <w:r w:rsidRPr="00CE09FE">
        <w:rPr>
          <w:rFonts w:ascii="Times New Roman" w:hAnsi="Times New Roman" w:cs="Times New Roman"/>
          <w:sz w:val="28"/>
        </w:rPr>
        <w:t xml:space="preserve"> </w:t>
      </w:r>
      <w:r w:rsidR="00AC724F">
        <w:rPr>
          <w:rFonts w:ascii="Times New Roman" w:hAnsi="Times New Roman" w:cs="Times New Roman"/>
          <w:sz w:val="28"/>
        </w:rPr>
        <w:t>81500, Львівська обл., Львівський р-н, м. Городок, вул.</w:t>
      </w:r>
      <w:r w:rsidRPr="00CE09FE">
        <w:rPr>
          <w:rFonts w:ascii="Times New Roman" w:hAnsi="Times New Roman" w:cs="Times New Roman"/>
          <w:sz w:val="28"/>
        </w:rPr>
        <w:t xml:space="preserve"> Джерельна, </w:t>
      </w:r>
      <w:r w:rsidR="00AC724F">
        <w:rPr>
          <w:rFonts w:ascii="Times New Roman" w:hAnsi="Times New Roman" w:cs="Times New Roman"/>
          <w:sz w:val="28"/>
        </w:rPr>
        <w:t>буд.№</w:t>
      </w:r>
      <w:r w:rsidRPr="00CE09FE">
        <w:rPr>
          <w:rFonts w:ascii="Times New Roman" w:hAnsi="Times New Roman" w:cs="Times New Roman"/>
          <w:sz w:val="28"/>
        </w:rPr>
        <w:t xml:space="preserve">16, </w:t>
      </w:r>
      <w:r w:rsidR="00AC724F">
        <w:rPr>
          <w:rFonts w:ascii="Times New Roman" w:hAnsi="Times New Roman" w:cs="Times New Roman"/>
          <w:sz w:val="28"/>
        </w:rPr>
        <w:t xml:space="preserve">код ЄДРПОУ – </w:t>
      </w:r>
      <w:r w:rsidRPr="00CE09FE">
        <w:rPr>
          <w:rFonts w:ascii="Times New Roman" w:hAnsi="Times New Roman" w:cs="Times New Roman"/>
          <w:sz w:val="28"/>
        </w:rPr>
        <w:t>44101707</w:t>
      </w:r>
      <w:r w:rsidR="00AC724F">
        <w:rPr>
          <w:rFonts w:ascii="Times New Roman" w:hAnsi="Times New Roman" w:cs="Times New Roman"/>
          <w:sz w:val="28"/>
        </w:rPr>
        <w:t>.</w:t>
      </w:r>
    </w:p>
    <w:p w:rsidR="00AC724F" w:rsidRDefault="00AC724F" w:rsidP="00AC72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AC724F" w:rsidRPr="00AC724F" w:rsidRDefault="00CE09FE" w:rsidP="00AC72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E09FE">
        <w:rPr>
          <w:rFonts w:ascii="Times New Roman" w:hAnsi="Times New Roman" w:cs="Times New Roman"/>
          <w:b/>
          <w:sz w:val="28"/>
        </w:rPr>
        <w:t>Назва предмета закупівлі із зазначенням коду за Єдиним закупівельним словни</w:t>
      </w:r>
      <w:r w:rsidR="00AC724F">
        <w:rPr>
          <w:rFonts w:ascii="Times New Roman" w:hAnsi="Times New Roman" w:cs="Times New Roman"/>
          <w:b/>
          <w:sz w:val="28"/>
        </w:rPr>
        <w:t xml:space="preserve">ком (у разі поділу на лоти </w:t>
      </w:r>
      <w:r w:rsidRPr="00CE09FE">
        <w:rPr>
          <w:rFonts w:ascii="Times New Roman" w:hAnsi="Times New Roman" w:cs="Times New Roman"/>
          <w:b/>
          <w:sz w:val="28"/>
        </w:rPr>
        <w:t>такі відомості повинні зазначатися стосовно кожного лота) та н</w:t>
      </w:r>
      <w:r w:rsidR="00AC724F">
        <w:rPr>
          <w:rFonts w:ascii="Times New Roman" w:hAnsi="Times New Roman" w:cs="Times New Roman"/>
          <w:b/>
          <w:sz w:val="28"/>
        </w:rPr>
        <w:t xml:space="preserve">азви відповідних класифікаторів </w:t>
      </w:r>
      <w:r w:rsidRPr="00CE09FE">
        <w:rPr>
          <w:rFonts w:ascii="Times New Roman" w:hAnsi="Times New Roman" w:cs="Times New Roman"/>
          <w:b/>
          <w:sz w:val="28"/>
        </w:rPr>
        <w:t xml:space="preserve">предмета закупівлі й частин предмета закупівлі (лотів) (за наявності): </w:t>
      </w:r>
      <w:r w:rsidR="00AC724F" w:rsidRPr="00AC724F">
        <w:rPr>
          <w:rFonts w:ascii="Times New Roman" w:hAnsi="Times New Roman" w:cs="Times New Roman"/>
          <w:sz w:val="28"/>
        </w:rPr>
        <w:t>Природний газ</w:t>
      </w:r>
      <w:r w:rsidR="00AC724F">
        <w:rPr>
          <w:rFonts w:ascii="Times New Roman" w:hAnsi="Times New Roman" w:cs="Times New Roman"/>
          <w:sz w:val="28"/>
        </w:rPr>
        <w:t xml:space="preserve">, код </w:t>
      </w:r>
      <w:r w:rsidR="00AC724F" w:rsidRPr="00AC724F">
        <w:rPr>
          <w:rFonts w:ascii="Times New Roman" w:hAnsi="Times New Roman" w:cs="Times New Roman"/>
          <w:sz w:val="28"/>
        </w:rPr>
        <w:t xml:space="preserve">ДК 021:2015 «Єдиний закупівельний словник» </w:t>
      </w:r>
      <w:r w:rsidR="00AC724F">
        <w:rPr>
          <w:rFonts w:ascii="Times New Roman" w:hAnsi="Times New Roman" w:cs="Times New Roman"/>
          <w:sz w:val="28"/>
        </w:rPr>
        <w:t>(CPV)</w:t>
      </w:r>
      <w:r w:rsidR="00AC724F" w:rsidRPr="00AC724F">
        <w:rPr>
          <w:rFonts w:ascii="Times New Roman" w:hAnsi="Times New Roman" w:cs="Times New Roman"/>
          <w:sz w:val="28"/>
        </w:rPr>
        <w:t xml:space="preserve"> 09120000-6 Газове паливо</w:t>
      </w:r>
      <w:r w:rsidR="00AC724F">
        <w:rPr>
          <w:rFonts w:ascii="Times New Roman" w:hAnsi="Times New Roman" w:cs="Times New Roman"/>
          <w:sz w:val="28"/>
        </w:rPr>
        <w:t xml:space="preserve"> (Природний газ - ДК 021:</w:t>
      </w:r>
      <w:r w:rsidR="00AC724F" w:rsidRPr="00AC724F">
        <w:rPr>
          <w:rFonts w:ascii="Times New Roman" w:hAnsi="Times New Roman" w:cs="Times New Roman"/>
          <w:sz w:val="28"/>
        </w:rPr>
        <w:t>2015 (CPV) - 09123000-7).</w:t>
      </w:r>
    </w:p>
    <w:p w:rsidR="00AC724F" w:rsidRDefault="00AC724F" w:rsidP="00AC72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782D43" w:rsidRPr="00782D43" w:rsidRDefault="00CE09FE" w:rsidP="00782D43">
      <w:pPr>
        <w:jc w:val="both"/>
        <w:rPr>
          <w:rFonts w:ascii="Times New Roman" w:hAnsi="Times New Roman" w:cs="Times New Roman"/>
          <w:sz w:val="28"/>
          <w:lang w:val="ru-RU"/>
        </w:rPr>
      </w:pPr>
      <w:r w:rsidRPr="00CE09FE">
        <w:rPr>
          <w:rFonts w:ascii="Times New Roman" w:hAnsi="Times New Roman" w:cs="Times New Roman"/>
          <w:b/>
          <w:sz w:val="28"/>
        </w:rPr>
        <w:t>Вид процедури закупівлі:</w:t>
      </w:r>
      <w:r w:rsidR="00782D43">
        <w:rPr>
          <w:rFonts w:ascii="Times New Roman" w:hAnsi="Times New Roman" w:cs="Times New Roman"/>
          <w:b/>
          <w:sz w:val="28"/>
        </w:rPr>
        <w:t xml:space="preserve"> </w:t>
      </w:r>
      <w:r w:rsidR="00782D43">
        <w:rPr>
          <w:rFonts w:ascii="Times New Roman" w:hAnsi="Times New Roman" w:cs="Times New Roman"/>
          <w:sz w:val="28"/>
        </w:rPr>
        <w:t>Відкриті торги з особливостями</w:t>
      </w:r>
      <w:r w:rsidR="00782D43">
        <w:rPr>
          <w:rFonts w:ascii="Times New Roman" w:hAnsi="Times New Roman" w:cs="Times New Roman"/>
          <w:sz w:val="28"/>
          <w:lang w:val="ru-RU"/>
        </w:rPr>
        <w:t>.</w:t>
      </w:r>
    </w:p>
    <w:p w:rsidR="00CE09FE" w:rsidRPr="00A017FE" w:rsidRDefault="00782D43" w:rsidP="00782D43">
      <w:pPr>
        <w:jc w:val="both"/>
        <w:rPr>
          <w:rFonts w:ascii="Times New Roman" w:hAnsi="Times New Roman" w:cs="Times New Roman"/>
          <w:sz w:val="28"/>
        </w:rPr>
      </w:pPr>
      <w:r w:rsidRPr="00782D43">
        <w:rPr>
          <w:rFonts w:ascii="Times New Roman" w:hAnsi="Times New Roman" w:cs="Times New Roman"/>
          <w:b/>
          <w:sz w:val="28"/>
        </w:rPr>
        <w:t xml:space="preserve">Ідентифікатор процедури закупівлі: </w:t>
      </w:r>
      <w:r>
        <w:rPr>
          <w:rFonts w:ascii="Times New Roman" w:hAnsi="Times New Roman" w:cs="Times New Roman"/>
          <w:sz w:val="28"/>
        </w:rPr>
        <w:t xml:space="preserve"> </w:t>
      </w:r>
      <w:r w:rsidR="00A017FE" w:rsidRPr="00A017FE">
        <w:rPr>
          <w:rFonts w:ascii="Times New Roman" w:hAnsi="Times New Roman" w:cs="Times New Roman"/>
          <w:sz w:val="28"/>
          <w:lang w:val="ru-RU"/>
        </w:rPr>
        <w:tab/>
      </w:r>
      <w:r w:rsidR="00A017FE" w:rsidRPr="00A017FE">
        <w:rPr>
          <w:rFonts w:ascii="Times New Roman" w:hAnsi="Times New Roman" w:cs="Times New Roman"/>
          <w:sz w:val="28"/>
          <w:lang w:val="en-US"/>
        </w:rPr>
        <w:t>UA</w:t>
      </w:r>
      <w:r w:rsidR="00A017FE" w:rsidRPr="00A017FE">
        <w:rPr>
          <w:rFonts w:ascii="Times New Roman" w:hAnsi="Times New Roman" w:cs="Times New Roman"/>
          <w:sz w:val="28"/>
          <w:lang w:val="ru-RU"/>
        </w:rPr>
        <w:t>-2025-04-17-010825-</w:t>
      </w:r>
      <w:r w:rsidR="00A017FE" w:rsidRPr="00A017FE">
        <w:rPr>
          <w:rFonts w:ascii="Times New Roman" w:hAnsi="Times New Roman" w:cs="Times New Roman"/>
          <w:sz w:val="28"/>
          <w:lang w:val="en-US"/>
        </w:rPr>
        <w:t>a</w:t>
      </w:r>
    </w:p>
    <w:p w:rsidR="00CE09FE" w:rsidRDefault="00CE09FE" w:rsidP="00782D43">
      <w:pPr>
        <w:jc w:val="both"/>
        <w:rPr>
          <w:rFonts w:ascii="Times New Roman" w:hAnsi="Times New Roman" w:cs="Times New Roman"/>
          <w:sz w:val="28"/>
        </w:rPr>
      </w:pPr>
      <w:r w:rsidRPr="00CE09FE">
        <w:rPr>
          <w:rFonts w:ascii="Times New Roman" w:hAnsi="Times New Roman" w:cs="Times New Roman"/>
          <w:b/>
          <w:sz w:val="28"/>
        </w:rPr>
        <w:t>Розмір бюджетного призначення:</w:t>
      </w:r>
      <w:r w:rsidR="0070187B">
        <w:rPr>
          <w:rFonts w:ascii="Times New Roman" w:hAnsi="Times New Roman" w:cs="Times New Roman"/>
          <w:sz w:val="28"/>
        </w:rPr>
        <w:t xml:space="preserve"> </w:t>
      </w:r>
      <w:r w:rsidR="0070187B" w:rsidRPr="0070187B">
        <w:rPr>
          <w:rFonts w:ascii="Times New Roman" w:hAnsi="Times New Roman" w:cs="Times New Roman"/>
          <w:sz w:val="28"/>
        </w:rPr>
        <w:t xml:space="preserve">668 461,92 </w:t>
      </w:r>
      <w:r w:rsidR="00782D43" w:rsidRPr="00782D43">
        <w:rPr>
          <w:rFonts w:ascii="Times New Roman" w:hAnsi="Times New Roman" w:cs="Times New Roman"/>
          <w:sz w:val="28"/>
        </w:rPr>
        <w:t>грн. з ПДВ, згідно кошторисних видатків на 2025 рік Замовника</w:t>
      </w:r>
      <w:r w:rsidRPr="00782D43">
        <w:rPr>
          <w:rFonts w:ascii="Times New Roman" w:hAnsi="Times New Roman" w:cs="Times New Roman"/>
          <w:sz w:val="28"/>
        </w:rPr>
        <w:t>.</w:t>
      </w:r>
    </w:p>
    <w:p w:rsidR="00782D43" w:rsidRDefault="00782D43" w:rsidP="00782D43">
      <w:pPr>
        <w:contextualSpacing/>
        <w:jc w:val="both"/>
        <w:rPr>
          <w:rFonts w:ascii="Times New Roman" w:hAnsi="Times New Roman" w:cs="Times New Roman"/>
          <w:sz w:val="28"/>
        </w:rPr>
      </w:pPr>
      <w:r w:rsidRPr="00782D43">
        <w:rPr>
          <w:rFonts w:ascii="Times New Roman" w:hAnsi="Times New Roman" w:cs="Times New Roman"/>
          <w:b/>
          <w:sz w:val="28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0187B">
        <w:rPr>
          <w:rFonts w:ascii="Times New Roman" w:hAnsi="Times New Roman" w:cs="Times New Roman"/>
          <w:sz w:val="28"/>
        </w:rPr>
        <w:t>668 461,92</w:t>
      </w:r>
      <w:r w:rsidR="00082E39" w:rsidRPr="00082E39">
        <w:rPr>
          <w:rFonts w:ascii="Times New Roman" w:hAnsi="Times New Roman" w:cs="Times New Roman"/>
          <w:sz w:val="28"/>
        </w:rPr>
        <w:t xml:space="preserve"> грн. з ПДВ.</w:t>
      </w:r>
    </w:p>
    <w:p w:rsidR="00082E39" w:rsidRDefault="00082E39" w:rsidP="00782D43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Станом на дату оголошення процедури закупівлі</w:t>
      </w:r>
      <w:r w:rsidR="001901F1">
        <w:rPr>
          <w:rFonts w:ascii="Times New Roman" w:hAnsi="Times New Roman" w:cs="Times New Roman"/>
          <w:sz w:val="28"/>
        </w:rPr>
        <w:t xml:space="preserve">, </w:t>
      </w:r>
      <w:bookmarkStart w:id="0" w:name="_Hlk117181474"/>
      <w:r w:rsidR="001901F1">
        <w:rPr>
          <w:rFonts w:ascii="Times New Roman" w:hAnsi="Times New Roman" w:cs="Times New Roman"/>
          <w:sz w:val="28"/>
        </w:rPr>
        <w:t>Постановою Кабінету Міністрів України</w:t>
      </w:r>
      <w:r w:rsidR="001901F1" w:rsidRPr="001901F1">
        <w:rPr>
          <w:rFonts w:ascii="Times New Roman" w:hAnsi="Times New Roman" w:cs="Times New Roman"/>
          <w:sz w:val="28"/>
        </w:rPr>
        <w:t xml:space="preserve">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№ 812</w:t>
      </w:r>
      <w:bookmarkEnd w:id="0"/>
      <w:r w:rsidR="001901F1" w:rsidRPr="001901F1">
        <w:rPr>
          <w:rFonts w:ascii="Times New Roman" w:hAnsi="Times New Roman" w:cs="Times New Roman"/>
          <w:sz w:val="28"/>
        </w:rPr>
        <w:t xml:space="preserve"> </w:t>
      </w:r>
      <w:r w:rsidR="001901F1">
        <w:rPr>
          <w:rFonts w:ascii="Times New Roman" w:hAnsi="Times New Roman" w:cs="Times New Roman"/>
          <w:sz w:val="28"/>
        </w:rPr>
        <w:t xml:space="preserve">від </w:t>
      </w:r>
      <w:r w:rsidR="001901F1" w:rsidRPr="001901F1">
        <w:rPr>
          <w:rFonts w:ascii="Times New Roman" w:hAnsi="Times New Roman" w:cs="Times New Roman"/>
          <w:sz w:val="28"/>
        </w:rPr>
        <w:t>19 липня 2022 р</w:t>
      </w:r>
      <w:r w:rsidR="001901F1">
        <w:rPr>
          <w:rFonts w:ascii="Times New Roman" w:hAnsi="Times New Roman" w:cs="Times New Roman"/>
          <w:sz w:val="28"/>
        </w:rPr>
        <w:t>.</w:t>
      </w:r>
      <w:r w:rsidR="001901F1" w:rsidRPr="001901F1">
        <w:rPr>
          <w:rFonts w:ascii="Times New Roman" w:hAnsi="Times New Roman" w:cs="Times New Roman"/>
          <w:sz w:val="28"/>
        </w:rPr>
        <w:t xml:space="preserve"> </w:t>
      </w:r>
      <w:r w:rsidR="001901F1">
        <w:rPr>
          <w:rFonts w:ascii="Times New Roman" w:hAnsi="Times New Roman" w:cs="Times New Roman"/>
          <w:sz w:val="28"/>
        </w:rPr>
        <w:t>зі змінами (далі - Постанова),</w:t>
      </w:r>
      <w:r w:rsidR="001901F1" w:rsidRPr="001901F1">
        <w:rPr>
          <w:rFonts w:ascii="Times New Roman" w:hAnsi="Times New Roman" w:cs="Times New Roman"/>
          <w:sz w:val="28"/>
        </w:rPr>
        <w:t xml:space="preserve"> врегульовано, що ТОВ “Газопостачальна компанія “Нафтогаз </w:t>
      </w:r>
      <w:proofErr w:type="spellStart"/>
      <w:r w:rsidR="001901F1" w:rsidRPr="001901F1">
        <w:rPr>
          <w:rFonts w:ascii="Times New Roman" w:hAnsi="Times New Roman" w:cs="Times New Roman"/>
          <w:sz w:val="28"/>
        </w:rPr>
        <w:t>Трейдинг</w:t>
      </w:r>
      <w:proofErr w:type="spellEnd"/>
      <w:r w:rsidR="001901F1" w:rsidRPr="001901F1">
        <w:rPr>
          <w:rFonts w:ascii="Times New Roman" w:hAnsi="Times New Roman" w:cs="Times New Roman"/>
          <w:sz w:val="28"/>
        </w:rPr>
        <w:t>” постачає з 1 вересня 2022 р. до 30 квітня 2025 р. (включно) природний газ бюджетним установам</w:t>
      </w:r>
      <w:r w:rsidR="00034F3A">
        <w:rPr>
          <w:rFonts w:ascii="Times New Roman" w:hAnsi="Times New Roman" w:cs="Times New Roman"/>
          <w:sz w:val="28"/>
        </w:rPr>
        <w:t xml:space="preserve">, </w:t>
      </w:r>
      <w:r w:rsidR="00034F3A" w:rsidRPr="00034F3A">
        <w:rPr>
          <w:rFonts w:ascii="Times New Roman" w:hAnsi="Times New Roman" w:cs="Times New Roman"/>
          <w:sz w:val="28"/>
        </w:rPr>
        <w:t xml:space="preserve">за ціною, що становить 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 </w:t>
      </w:r>
    </w:p>
    <w:p w:rsidR="002D0F22" w:rsidRDefault="001901F1" w:rsidP="00D7183F">
      <w:pPr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A017FE">
        <w:rPr>
          <w:rFonts w:ascii="Times New Roman" w:hAnsi="Times New Roman" w:cs="Times New Roman"/>
          <w:sz w:val="28"/>
        </w:rPr>
        <w:t>Однак, Постановою Кабінету Міністрів України «</w:t>
      </w:r>
      <w:r w:rsidR="00A017FE" w:rsidRPr="00A017FE">
        <w:rPr>
          <w:rFonts w:ascii="Times New Roman" w:hAnsi="Times New Roman" w:cs="Times New Roman"/>
          <w:bCs/>
          <w:sz w:val="28"/>
        </w:rPr>
        <w:t>Про внесення змін до постанови Кабінету Міністрів України від 19 липня 2022 р. № 812</w:t>
      </w:r>
      <w:r w:rsidR="00A017FE">
        <w:rPr>
          <w:rFonts w:ascii="Times New Roman" w:hAnsi="Times New Roman" w:cs="Times New Roman"/>
          <w:bCs/>
          <w:sz w:val="28"/>
        </w:rPr>
        <w:t xml:space="preserve">» №408 від 11 квітня 2025 року передбачається забезпечення постачання природного газу </w:t>
      </w:r>
      <w:r w:rsidR="00A017FE" w:rsidRPr="00A017FE">
        <w:rPr>
          <w:rFonts w:ascii="Times New Roman" w:hAnsi="Times New Roman" w:cs="Times New Roman"/>
          <w:bCs/>
          <w:sz w:val="28"/>
        </w:rPr>
        <w:t xml:space="preserve">ТОВ “Газопостачальна компанія “Нафтогаз </w:t>
      </w:r>
      <w:proofErr w:type="spellStart"/>
      <w:r w:rsidR="00A017FE" w:rsidRPr="00A017FE">
        <w:rPr>
          <w:rFonts w:ascii="Times New Roman" w:hAnsi="Times New Roman" w:cs="Times New Roman"/>
          <w:bCs/>
          <w:sz w:val="28"/>
        </w:rPr>
        <w:t>Трейдинг</w:t>
      </w:r>
      <w:proofErr w:type="spellEnd"/>
      <w:r w:rsidR="00A017FE" w:rsidRPr="00A017FE">
        <w:rPr>
          <w:rFonts w:ascii="Times New Roman" w:hAnsi="Times New Roman" w:cs="Times New Roman"/>
          <w:bCs/>
          <w:sz w:val="28"/>
        </w:rPr>
        <w:t>”</w:t>
      </w:r>
      <w:r w:rsidR="00A017FE">
        <w:rPr>
          <w:rFonts w:ascii="Times New Roman" w:hAnsi="Times New Roman" w:cs="Times New Roman"/>
          <w:bCs/>
          <w:sz w:val="28"/>
        </w:rPr>
        <w:t xml:space="preserve"> бюджетним установам</w:t>
      </w:r>
      <w:r w:rsidR="00A017FE" w:rsidRPr="00A017FE">
        <w:rPr>
          <w:color w:val="333333"/>
          <w:shd w:val="clear" w:color="auto" w:fill="FFFFE2"/>
        </w:rPr>
        <w:t xml:space="preserve"> </w:t>
      </w:r>
      <w:r w:rsidR="00A017FE">
        <w:rPr>
          <w:rFonts w:ascii="Times New Roman" w:hAnsi="Times New Roman" w:cs="Times New Roman"/>
          <w:bCs/>
          <w:sz w:val="28"/>
        </w:rPr>
        <w:t>до 31 жовтня 2025 року</w:t>
      </w:r>
      <w:r w:rsidR="00A017FE" w:rsidRPr="00A017FE">
        <w:rPr>
          <w:rFonts w:ascii="Times New Roman" w:hAnsi="Times New Roman" w:cs="Times New Roman"/>
          <w:bCs/>
          <w:sz w:val="28"/>
        </w:rPr>
        <w:t xml:space="preserve"> (включно)</w:t>
      </w:r>
      <w:r w:rsidR="00A017FE">
        <w:rPr>
          <w:rFonts w:ascii="Times New Roman" w:hAnsi="Times New Roman" w:cs="Times New Roman"/>
          <w:bCs/>
          <w:sz w:val="28"/>
        </w:rPr>
        <w:t xml:space="preserve"> (постанова набирає</w:t>
      </w:r>
      <w:r w:rsidR="00A017FE" w:rsidRPr="00A017FE">
        <w:rPr>
          <w:color w:val="333333"/>
          <w:shd w:val="clear" w:color="auto" w:fill="FFFFE2"/>
        </w:rPr>
        <w:t xml:space="preserve"> </w:t>
      </w:r>
      <w:r w:rsidR="00A017FE">
        <w:rPr>
          <w:rFonts w:ascii="Times New Roman" w:hAnsi="Times New Roman" w:cs="Times New Roman"/>
          <w:bCs/>
          <w:sz w:val="28"/>
        </w:rPr>
        <w:t>чинності з 1 травня 2025 року).</w:t>
      </w:r>
    </w:p>
    <w:p w:rsidR="00D3395B" w:rsidRDefault="00D3395B" w:rsidP="00D7183F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 w:rsidRPr="00D3395B">
        <w:rPr>
          <w:rFonts w:ascii="Times New Roman" w:hAnsi="Times New Roman" w:cs="Times New Roman"/>
          <w:bCs/>
          <w:sz w:val="28"/>
        </w:rPr>
        <w:t>В порівнянні з іншими постачальниками ця ціна є найбільш економічно вигідною.</w:t>
      </w:r>
    </w:p>
    <w:p w:rsidR="00034F3A" w:rsidRPr="00034F3A" w:rsidRDefault="00034F3A" w:rsidP="00034F3A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034F3A">
        <w:rPr>
          <w:rFonts w:ascii="Times New Roman" w:hAnsi="Times New Roman" w:cs="Times New Roman"/>
          <w:sz w:val="28"/>
        </w:rPr>
        <w:t xml:space="preserve">У зв’язку з тим, Замовником здійснено розрахунок очікуваною вартості предмета закупівлі </w:t>
      </w:r>
      <w:r w:rsidR="00D3395B">
        <w:rPr>
          <w:rFonts w:ascii="Times New Roman" w:hAnsi="Times New Roman" w:cs="Times New Roman"/>
          <w:sz w:val="28"/>
        </w:rPr>
        <w:t>на підставі пункту 3</w:t>
      </w:r>
      <w:r w:rsidRPr="00034F3A">
        <w:rPr>
          <w:rFonts w:ascii="Times New Roman" w:hAnsi="Times New Roman" w:cs="Times New Roman"/>
          <w:sz w:val="28"/>
        </w:rPr>
        <w:t xml:space="preserve"> розділу ІІІ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 275 зі змінами, а саме: </w:t>
      </w:r>
      <w:r w:rsidR="00D3395B">
        <w:rPr>
          <w:rFonts w:ascii="Times New Roman" w:hAnsi="Times New Roman" w:cs="Times New Roman"/>
          <w:sz w:val="28"/>
        </w:rPr>
        <w:t>р</w:t>
      </w:r>
      <w:r w:rsidR="00D3395B" w:rsidRPr="00D3395B">
        <w:rPr>
          <w:rFonts w:ascii="Times New Roman" w:hAnsi="Times New Roman" w:cs="Times New Roman"/>
          <w:sz w:val="28"/>
        </w:rPr>
        <w:t>озрахунок очікуваної вартості товарів/послуг, щодо яких проводиться державне регулювання цін і тарифів.</w:t>
      </w:r>
    </w:p>
    <w:p w:rsidR="00D3395B" w:rsidRPr="00D3395B" w:rsidRDefault="00034F3A" w:rsidP="00D3395B">
      <w:pPr>
        <w:contextualSpacing/>
        <w:jc w:val="both"/>
        <w:rPr>
          <w:rFonts w:ascii="Times New Roman" w:hAnsi="Times New Roman" w:cs="Times New Roman"/>
          <w:sz w:val="28"/>
        </w:rPr>
      </w:pPr>
      <w:r w:rsidRPr="00034F3A">
        <w:rPr>
          <w:rFonts w:ascii="Times New Roman" w:hAnsi="Times New Roman" w:cs="Times New Roman"/>
          <w:sz w:val="28"/>
        </w:rPr>
        <w:tab/>
        <w:t xml:space="preserve">За даним методом, очікувана вартість </w:t>
      </w:r>
      <w:r w:rsidR="00D3395B" w:rsidRPr="00D3395B">
        <w:rPr>
          <w:rFonts w:ascii="Times New Roman" w:hAnsi="Times New Roman" w:cs="Times New Roman"/>
          <w:sz w:val="28"/>
        </w:rPr>
        <w:t>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</w:r>
    </w:p>
    <w:p w:rsidR="00D3395B" w:rsidRDefault="00D3395B" w:rsidP="00D3395B">
      <w:pPr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ОВрег</w:t>
      </w:r>
      <w:proofErr w:type="spellEnd"/>
      <w:r>
        <w:rPr>
          <w:rFonts w:ascii="Times New Roman" w:hAnsi="Times New Roman" w:cs="Times New Roman"/>
          <w:sz w:val="28"/>
        </w:rPr>
        <w:t xml:space="preserve"> = V * </w:t>
      </w:r>
      <w:proofErr w:type="spellStart"/>
      <w:r>
        <w:rPr>
          <w:rFonts w:ascii="Times New Roman" w:hAnsi="Times New Roman" w:cs="Times New Roman"/>
          <w:sz w:val="28"/>
        </w:rPr>
        <w:t>Цтар</w:t>
      </w:r>
      <w:proofErr w:type="spellEnd"/>
      <w:r>
        <w:rPr>
          <w:rFonts w:ascii="Times New Roman" w:hAnsi="Times New Roman" w:cs="Times New Roman"/>
          <w:sz w:val="28"/>
        </w:rPr>
        <w:t xml:space="preserve"> =</w:t>
      </w:r>
    </w:p>
    <w:p w:rsidR="00D3395B" w:rsidRPr="00D3395B" w:rsidRDefault="00D3395B" w:rsidP="00D3395B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39,2 * 16390 = 642 488,00 </w:t>
      </w:r>
    </w:p>
    <w:p w:rsidR="00D3395B" w:rsidRPr="00D3395B" w:rsidRDefault="00D3395B" w:rsidP="00D3395B">
      <w:pPr>
        <w:contextualSpacing/>
        <w:jc w:val="both"/>
        <w:rPr>
          <w:rFonts w:ascii="Times New Roman" w:hAnsi="Times New Roman" w:cs="Times New Roman"/>
          <w:sz w:val="28"/>
        </w:rPr>
      </w:pPr>
      <w:r w:rsidRPr="00D3395B">
        <w:rPr>
          <w:rFonts w:ascii="Times New Roman" w:hAnsi="Times New Roman" w:cs="Times New Roman"/>
          <w:sz w:val="28"/>
        </w:rPr>
        <w:t>де:</w:t>
      </w:r>
    </w:p>
    <w:p w:rsidR="00D3395B" w:rsidRPr="00D3395B" w:rsidRDefault="00D3395B" w:rsidP="00D3395B">
      <w:p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D3395B">
        <w:rPr>
          <w:rFonts w:ascii="Times New Roman" w:hAnsi="Times New Roman" w:cs="Times New Roman"/>
          <w:sz w:val="28"/>
        </w:rPr>
        <w:t>ОВрег</w:t>
      </w:r>
      <w:proofErr w:type="spellEnd"/>
      <w:r w:rsidRPr="00D3395B">
        <w:rPr>
          <w:rFonts w:ascii="Times New Roman" w:hAnsi="Times New Roman" w:cs="Times New Roman"/>
          <w:sz w:val="28"/>
        </w:rPr>
        <w:t xml:space="preserve"> - очікувана вартість закупівлі товарів/послуг, щодо яких проводиться державне регулювання цін і тарифів;</w:t>
      </w:r>
    </w:p>
    <w:p w:rsidR="00D3395B" w:rsidRPr="00D3395B" w:rsidRDefault="00D3395B" w:rsidP="00D3395B">
      <w:pPr>
        <w:contextualSpacing/>
        <w:jc w:val="both"/>
        <w:rPr>
          <w:rFonts w:ascii="Times New Roman" w:hAnsi="Times New Roman" w:cs="Times New Roman"/>
          <w:sz w:val="28"/>
        </w:rPr>
      </w:pPr>
      <w:r w:rsidRPr="00D3395B">
        <w:rPr>
          <w:rFonts w:ascii="Times New Roman" w:hAnsi="Times New Roman" w:cs="Times New Roman"/>
          <w:sz w:val="28"/>
        </w:rPr>
        <w:t>V - кількість (обсяг) товару/послуги, що закуповується;</w:t>
      </w:r>
    </w:p>
    <w:p w:rsidR="00D3395B" w:rsidRPr="00D3395B" w:rsidRDefault="00D3395B" w:rsidP="00D3395B">
      <w:p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D3395B">
        <w:rPr>
          <w:rFonts w:ascii="Times New Roman" w:hAnsi="Times New Roman" w:cs="Times New Roman"/>
          <w:sz w:val="28"/>
        </w:rPr>
        <w:t>Цтар</w:t>
      </w:r>
      <w:proofErr w:type="spellEnd"/>
      <w:r w:rsidRPr="00D3395B">
        <w:rPr>
          <w:rFonts w:ascii="Times New Roman" w:hAnsi="Times New Roman" w:cs="Times New Roman"/>
          <w:sz w:val="28"/>
        </w:rPr>
        <w:t xml:space="preserve"> - ціна (тариф) за одиницю товару/послуги, затверджена відповідним нормативно-правовим актом.</w:t>
      </w:r>
    </w:p>
    <w:p w:rsidR="008156DC" w:rsidRPr="008156DC" w:rsidRDefault="00D3395B" w:rsidP="008156D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156DC">
        <w:rPr>
          <w:rFonts w:ascii="Times New Roman" w:hAnsi="Times New Roman" w:cs="Times New Roman"/>
          <w:sz w:val="28"/>
        </w:rPr>
        <w:t>Крім того, д</w:t>
      </w:r>
      <w:r>
        <w:rPr>
          <w:rFonts w:ascii="Times New Roman" w:hAnsi="Times New Roman" w:cs="Times New Roman"/>
          <w:sz w:val="28"/>
        </w:rPr>
        <w:t xml:space="preserve">о розрахунку </w:t>
      </w:r>
      <w:r w:rsidR="008156DC">
        <w:rPr>
          <w:rFonts w:ascii="Times New Roman" w:hAnsi="Times New Roman" w:cs="Times New Roman"/>
          <w:sz w:val="28"/>
        </w:rPr>
        <w:t>необхідно також взяти</w:t>
      </w:r>
      <w:r>
        <w:rPr>
          <w:rFonts w:ascii="Times New Roman" w:hAnsi="Times New Roman" w:cs="Times New Roman"/>
          <w:sz w:val="28"/>
        </w:rPr>
        <w:t xml:space="preserve"> до уваги </w:t>
      </w:r>
      <w:r w:rsidR="008156DC" w:rsidRPr="008156DC">
        <w:rPr>
          <w:rFonts w:ascii="Times New Roman" w:hAnsi="Times New Roman" w:cs="Times New Roman"/>
          <w:sz w:val="28"/>
        </w:rPr>
        <w:t xml:space="preserve">тариф на послуги транспортування природного газу для внутрішньої </w:t>
      </w:r>
      <w:r w:rsidR="008156DC">
        <w:rPr>
          <w:rFonts w:ascii="Times New Roman" w:hAnsi="Times New Roman" w:cs="Times New Roman"/>
          <w:sz w:val="28"/>
        </w:rPr>
        <w:t xml:space="preserve">точки виходу з газотранспортної </w:t>
      </w:r>
      <w:r w:rsidR="008156DC" w:rsidRPr="008156DC">
        <w:rPr>
          <w:rFonts w:ascii="Times New Roman" w:hAnsi="Times New Roman" w:cs="Times New Roman"/>
          <w:sz w:val="28"/>
        </w:rPr>
        <w:t xml:space="preserve">системи – </w:t>
      </w:r>
      <w:r w:rsidR="008156DC">
        <w:rPr>
          <w:rFonts w:ascii="Times New Roman" w:hAnsi="Times New Roman" w:cs="Times New Roman"/>
          <w:sz w:val="28"/>
        </w:rPr>
        <w:t xml:space="preserve">501,97 грн без ПДВ, коефіцієнт, </w:t>
      </w:r>
      <w:r w:rsidR="008156DC" w:rsidRPr="008156DC">
        <w:rPr>
          <w:rFonts w:ascii="Times New Roman" w:hAnsi="Times New Roman" w:cs="Times New Roman"/>
          <w:sz w:val="28"/>
        </w:rPr>
        <w:t>який застосовується при замовленні потужності на добу наперед у відповідному періоді,–на рівні 1,10 умовних одиниць, всього з коефіцієнтом –</w:t>
      </w:r>
      <w:r w:rsidR="008156DC">
        <w:rPr>
          <w:rFonts w:ascii="Times New Roman" w:hAnsi="Times New Roman" w:cs="Times New Roman"/>
          <w:sz w:val="28"/>
        </w:rPr>
        <w:t>552,167 грн,</w:t>
      </w:r>
      <w:r w:rsidR="008156DC" w:rsidRPr="008156DC">
        <w:rPr>
          <w:rFonts w:ascii="Times New Roman" w:hAnsi="Times New Roman" w:cs="Times New Roman"/>
          <w:sz w:val="28"/>
        </w:rPr>
        <w:t xml:space="preserve"> крім того ПДВ 20% –110,433 грн, всього з ПДВ 662,60 грн за 1000 </w:t>
      </w:r>
      <w:proofErr w:type="spellStart"/>
      <w:r w:rsidR="008156DC" w:rsidRPr="008156DC">
        <w:rPr>
          <w:rFonts w:ascii="Times New Roman" w:hAnsi="Times New Roman" w:cs="Times New Roman"/>
          <w:sz w:val="28"/>
        </w:rPr>
        <w:t>куб.м</w:t>
      </w:r>
      <w:proofErr w:type="spellEnd"/>
      <w:r w:rsidR="008156DC">
        <w:rPr>
          <w:rFonts w:ascii="Times New Roman" w:hAnsi="Times New Roman" w:cs="Times New Roman"/>
          <w:sz w:val="28"/>
        </w:rPr>
        <w:t>.:</w:t>
      </w:r>
    </w:p>
    <w:p w:rsidR="00A017FE" w:rsidRPr="00D3395B" w:rsidRDefault="008156DC" w:rsidP="00EA248E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39,2*662,60=25 973,92</w:t>
      </w:r>
      <w:r>
        <w:rPr>
          <w:rFonts w:ascii="Times New Roman" w:hAnsi="Times New Roman" w:cs="Times New Roman"/>
          <w:sz w:val="28"/>
        </w:rPr>
        <w:br/>
        <w:t>642 488,00+25 973,92=</w:t>
      </w:r>
      <w:r w:rsidRPr="00EA248E">
        <w:rPr>
          <w:rFonts w:ascii="Times New Roman" w:hAnsi="Times New Roman" w:cs="Times New Roman"/>
          <w:b/>
          <w:sz w:val="28"/>
        </w:rPr>
        <w:t>668 461,92</w:t>
      </w:r>
    </w:p>
    <w:p w:rsidR="00993A67" w:rsidRDefault="002D0F22" w:rsidP="00D7183F">
      <w:pPr>
        <w:contextualSpacing/>
        <w:jc w:val="both"/>
        <w:rPr>
          <w:rFonts w:ascii="Times New Roman" w:hAnsi="Times New Roman" w:cs="Times New Roman"/>
          <w:sz w:val="28"/>
        </w:rPr>
      </w:pPr>
      <w:r w:rsidRPr="002D0F22">
        <w:rPr>
          <w:rFonts w:ascii="Times New Roman" w:hAnsi="Times New Roman" w:cs="Times New Roman"/>
          <w:b/>
          <w:sz w:val="28"/>
        </w:rPr>
        <w:t>Обґрунтування т</w:t>
      </w:r>
      <w:r>
        <w:rPr>
          <w:rFonts w:ascii="Times New Roman" w:hAnsi="Times New Roman" w:cs="Times New Roman"/>
          <w:b/>
          <w:sz w:val="28"/>
        </w:rPr>
        <w:t xml:space="preserve">ехнічних, якісних характеристик: </w:t>
      </w:r>
      <w:r w:rsidRPr="002D0F22">
        <w:rPr>
          <w:rFonts w:ascii="Times New Roman" w:hAnsi="Times New Roman" w:cs="Times New Roman"/>
          <w:sz w:val="28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2D0F22">
        <w:rPr>
          <w:rFonts w:ascii="Times New Roman" w:hAnsi="Times New Roman" w:cs="Times New Roman"/>
          <w:sz w:val="28"/>
        </w:rPr>
        <w:t>т</w:t>
      </w:r>
      <w:bookmarkStart w:id="1" w:name="_GoBack"/>
      <w:bookmarkEnd w:id="1"/>
      <w:r w:rsidRPr="002D0F22">
        <w:rPr>
          <w:rFonts w:ascii="Times New Roman" w:hAnsi="Times New Roman" w:cs="Times New Roman"/>
          <w:sz w:val="28"/>
        </w:rPr>
        <w:t>овщ</w:t>
      </w:r>
      <w:proofErr w:type="spellEnd"/>
      <w:r w:rsidRPr="002D0F22">
        <w:rPr>
          <w:rFonts w:ascii="Times New Roman" w:hAnsi="Times New Roman" w:cs="Times New Roman"/>
          <w:sz w:val="28"/>
        </w:rPr>
        <w:t xml:space="preserve">) — корисна копалина, яка є сумішшю вуглеводнів та </w:t>
      </w:r>
      <w:r w:rsidRPr="002D0F22">
        <w:rPr>
          <w:rFonts w:ascii="Times New Roman" w:hAnsi="Times New Roman" w:cs="Times New Roman"/>
          <w:sz w:val="28"/>
        </w:rPr>
        <w:lastRenderedPageBreak/>
        <w:t xml:space="preserve">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:rsidR="00993A67" w:rsidRDefault="00993A67" w:rsidP="00D7183F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D0F22" w:rsidRPr="002D0F22">
        <w:rPr>
          <w:rFonts w:ascii="Times New Roman" w:hAnsi="Times New Roman" w:cs="Times New Roman"/>
          <w:sz w:val="28"/>
        </w:rPr>
        <w:t xml:space="preserve">Кількісною характеристикою предмета закупівлі є обсяг споживання природного газу. 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</w:t>
      </w:r>
    </w:p>
    <w:p w:rsidR="00993A67" w:rsidRPr="00993A67" w:rsidRDefault="00993A67" w:rsidP="00993A67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993A67">
        <w:rPr>
          <w:rFonts w:ascii="Times New Roman" w:hAnsi="Times New Roman" w:cs="Times New Roman"/>
          <w:sz w:val="28"/>
        </w:rPr>
        <w:t xml:space="preserve">Повинен відповідати вимогам </w:t>
      </w:r>
      <w:r w:rsidRPr="00993A67">
        <w:rPr>
          <w:rFonts w:ascii="Times New Roman" w:hAnsi="Times New Roman" w:cs="Times New Roman"/>
          <w:sz w:val="28"/>
          <w:lang w:val="ru-RU"/>
        </w:rPr>
        <w:t xml:space="preserve">ДСТУ </w:t>
      </w:r>
      <w:r w:rsidRPr="00993A67">
        <w:rPr>
          <w:rFonts w:ascii="Times New Roman" w:hAnsi="Times New Roman" w:cs="Times New Roman"/>
          <w:bCs/>
          <w:sz w:val="28"/>
          <w:lang w:val="ru-RU"/>
        </w:rPr>
        <w:t xml:space="preserve">5542-87  </w:t>
      </w:r>
      <w:r w:rsidRPr="00993A67">
        <w:rPr>
          <w:rFonts w:ascii="Times New Roman" w:hAnsi="Times New Roman" w:cs="Times New Roman"/>
          <w:sz w:val="28"/>
          <w:lang w:val="ru-RU"/>
        </w:rPr>
        <w:t xml:space="preserve">«Гази </w:t>
      </w:r>
      <w:proofErr w:type="spellStart"/>
      <w:r w:rsidRPr="00993A67">
        <w:rPr>
          <w:rFonts w:ascii="Times New Roman" w:hAnsi="Times New Roman" w:cs="Times New Roman"/>
          <w:sz w:val="28"/>
          <w:lang w:val="ru-RU"/>
        </w:rPr>
        <w:t>горючі</w:t>
      </w:r>
      <w:proofErr w:type="spellEnd"/>
      <w:r w:rsidRPr="00993A6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93A67">
        <w:rPr>
          <w:rFonts w:ascii="Times New Roman" w:hAnsi="Times New Roman" w:cs="Times New Roman"/>
          <w:sz w:val="28"/>
          <w:lang w:val="ru-RU"/>
        </w:rPr>
        <w:t>природні</w:t>
      </w:r>
      <w:proofErr w:type="spellEnd"/>
      <w:r w:rsidRPr="00993A67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993A67">
        <w:rPr>
          <w:rFonts w:ascii="Times New Roman" w:hAnsi="Times New Roman" w:cs="Times New Roman"/>
          <w:sz w:val="28"/>
          <w:lang w:val="ru-RU"/>
        </w:rPr>
        <w:t>промислового</w:t>
      </w:r>
      <w:proofErr w:type="spellEnd"/>
      <w:r w:rsidRPr="00993A67"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 w:rsidRPr="00993A67">
        <w:rPr>
          <w:rFonts w:ascii="Times New Roman" w:hAnsi="Times New Roman" w:cs="Times New Roman"/>
          <w:sz w:val="28"/>
          <w:lang w:val="ru-RU"/>
        </w:rPr>
        <w:t>комунально-побутового</w:t>
      </w:r>
      <w:proofErr w:type="spellEnd"/>
      <w:r w:rsidRPr="00993A6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93A67">
        <w:rPr>
          <w:rFonts w:ascii="Times New Roman" w:hAnsi="Times New Roman" w:cs="Times New Roman"/>
          <w:sz w:val="28"/>
          <w:lang w:val="ru-RU"/>
        </w:rPr>
        <w:t>призначення</w:t>
      </w:r>
      <w:proofErr w:type="spellEnd"/>
      <w:r w:rsidRPr="00993A67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proofErr w:type="gramStart"/>
      <w:r w:rsidRPr="00993A67">
        <w:rPr>
          <w:rFonts w:ascii="Times New Roman" w:hAnsi="Times New Roman" w:cs="Times New Roman"/>
          <w:sz w:val="28"/>
          <w:lang w:val="ru-RU"/>
        </w:rPr>
        <w:t>Техн</w:t>
      </w:r>
      <w:proofErr w:type="gramEnd"/>
      <w:r w:rsidRPr="00993A67">
        <w:rPr>
          <w:rFonts w:ascii="Times New Roman" w:hAnsi="Times New Roman" w:cs="Times New Roman"/>
          <w:sz w:val="28"/>
          <w:lang w:val="ru-RU"/>
        </w:rPr>
        <w:t>ічні</w:t>
      </w:r>
      <w:proofErr w:type="spellEnd"/>
      <w:r w:rsidRPr="00993A6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93A67">
        <w:rPr>
          <w:rFonts w:ascii="Times New Roman" w:hAnsi="Times New Roman" w:cs="Times New Roman"/>
          <w:sz w:val="28"/>
          <w:lang w:val="ru-RU"/>
        </w:rPr>
        <w:t>умови</w:t>
      </w:r>
      <w:proofErr w:type="spellEnd"/>
      <w:r w:rsidRPr="00993A67">
        <w:rPr>
          <w:rFonts w:ascii="Times New Roman" w:hAnsi="Times New Roman" w:cs="Times New Roman"/>
          <w:sz w:val="28"/>
          <w:lang w:val="ru-RU"/>
        </w:rPr>
        <w:t>»</w:t>
      </w:r>
      <w:r w:rsidRPr="00993A67">
        <w:rPr>
          <w:rFonts w:ascii="Times New Roman" w:hAnsi="Times New Roman" w:cs="Times New Roman"/>
          <w:sz w:val="28"/>
        </w:rPr>
        <w:t xml:space="preserve"> та ДСТУ EN ISO 6976:2020 Природний газ. Обчислення теплоти згоряння, густини, відносної густини та числа </w:t>
      </w:r>
      <w:proofErr w:type="spellStart"/>
      <w:r w:rsidRPr="00993A67">
        <w:rPr>
          <w:rFonts w:ascii="Times New Roman" w:hAnsi="Times New Roman" w:cs="Times New Roman"/>
          <w:sz w:val="28"/>
        </w:rPr>
        <w:t>Воббе</w:t>
      </w:r>
      <w:proofErr w:type="spellEnd"/>
      <w:r w:rsidRPr="00993A67">
        <w:rPr>
          <w:rFonts w:ascii="Times New Roman" w:hAnsi="Times New Roman" w:cs="Times New Roman"/>
          <w:sz w:val="28"/>
        </w:rPr>
        <w:t xml:space="preserve"> на основі компонентного складу</w:t>
      </w:r>
      <w:r w:rsidRPr="00993A67">
        <w:rPr>
          <w:rFonts w:ascii="Times New Roman" w:hAnsi="Times New Roman" w:cs="Times New Roman"/>
          <w:sz w:val="28"/>
          <w:lang w:val="ru-RU"/>
        </w:rPr>
        <w:t>.</w:t>
      </w:r>
      <w:r w:rsidRPr="00993A67">
        <w:rPr>
          <w:rFonts w:ascii="Times New Roman" w:hAnsi="Times New Roman" w:cs="Times New Roman"/>
          <w:sz w:val="28"/>
        </w:rPr>
        <w:t xml:space="preserve"> </w:t>
      </w:r>
    </w:p>
    <w:p w:rsidR="00993A67" w:rsidRPr="00993A67" w:rsidRDefault="00993A67" w:rsidP="00993A67">
      <w:pPr>
        <w:contextualSpacing/>
        <w:jc w:val="center"/>
        <w:rPr>
          <w:rFonts w:ascii="Times New Roman" w:hAnsi="Times New Roman" w:cs="Times New Roman"/>
          <w:sz w:val="28"/>
          <w:lang w:val="ru-RU"/>
        </w:rPr>
      </w:pPr>
      <w:r w:rsidRPr="00993A67">
        <w:rPr>
          <w:rFonts w:ascii="Times New Roman" w:hAnsi="Times New Roman" w:cs="Times New Roman"/>
          <w:sz w:val="28"/>
          <w:lang w:val="ru-RU"/>
        </w:rPr>
        <w:t>ЯКІСНІ ВИМОГИ: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18"/>
        <w:gridCol w:w="1550"/>
      </w:tblGrid>
      <w:tr w:rsidR="00993A67" w:rsidRPr="00993A67" w:rsidTr="00993A67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Найменування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показника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Величина</w:t>
            </w:r>
          </w:p>
        </w:tc>
      </w:tr>
      <w:tr w:rsidR="00993A67" w:rsidRPr="00993A67" w:rsidTr="00993A6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1. Теплота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згоряння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нижча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,  МДж/м³ кПа,  при 20</w:t>
            </w:r>
            <w:proofErr w:type="gram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ºС</w:t>
            </w:r>
            <w:proofErr w:type="gram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 101,325 кПа, не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менше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31,8 (7600) </w:t>
            </w:r>
          </w:p>
        </w:tc>
      </w:tr>
      <w:tr w:rsidR="00993A67" w:rsidRPr="00993A67" w:rsidTr="00993A67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2. Область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значень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числа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Воббе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(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вищого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), МДж/</w:t>
            </w:r>
            <w:proofErr w:type="gram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м</w:t>
            </w:r>
            <w:proofErr w:type="gram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³ (ккал/м³)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  <w:r w:rsidRPr="00993A67">
              <w:rPr>
                <w:rFonts w:ascii="Times New Roman" w:hAnsi="Times New Roman" w:cs="Times New Roman"/>
                <w:sz w:val="28"/>
              </w:rPr>
              <w:t>1</w:t>
            </w: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000-13000</w:t>
            </w:r>
          </w:p>
        </w:tc>
      </w:tr>
      <w:tr w:rsidR="00993A67" w:rsidRPr="00993A67" w:rsidTr="00993A6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3.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Масова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концентрація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сірководню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, г/м³, </w:t>
            </w:r>
            <w:proofErr w:type="gram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не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б</w:t>
            </w:r>
            <w:proofErr w:type="gram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0,02</w:t>
            </w:r>
          </w:p>
        </w:tc>
      </w:tr>
      <w:tr w:rsidR="00993A67" w:rsidRPr="00993A67" w:rsidTr="00993A6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4.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Масова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концентрація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меркаптанової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сірки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, г/м³, </w:t>
            </w:r>
            <w:proofErr w:type="gram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не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б</w:t>
            </w:r>
            <w:proofErr w:type="gram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0,036</w:t>
            </w:r>
          </w:p>
        </w:tc>
      </w:tr>
      <w:tr w:rsidR="00993A67" w:rsidRPr="00993A67" w:rsidTr="00993A6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5.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Об’ємна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частка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кисню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, %, </w:t>
            </w:r>
            <w:proofErr w:type="gram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не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б</w:t>
            </w:r>
            <w:proofErr w:type="gram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1,0</w:t>
            </w:r>
          </w:p>
        </w:tc>
      </w:tr>
      <w:tr w:rsidR="00993A67" w:rsidRPr="00993A67" w:rsidTr="00993A67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6.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Маса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механічних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домішків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у 1 м³ г, </w:t>
            </w:r>
            <w:proofErr w:type="gram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не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б</w:t>
            </w:r>
            <w:proofErr w:type="gram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0,001</w:t>
            </w:r>
          </w:p>
        </w:tc>
      </w:tr>
      <w:tr w:rsidR="00993A67" w:rsidRPr="00993A67" w:rsidTr="00993A6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7.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Інтенсивність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запаху при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об’ємній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частці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1% в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пові</w:t>
            </w:r>
            <w:proofErr w:type="gram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тр</w:t>
            </w:r>
            <w:proofErr w:type="gram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і</w:t>
            </w:r>
            <w:proofErr w:type="spellEnd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, бал, не </w:t>
            </w:r>
            <w:proofErr w:type="spellStart"/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>менше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A67" w:rsidRPr="00993A67" w:rsidRDefault="00993A67" w:rsidP="00993A67">
            <w:pPr>
              <w:contextualSpacing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993A67">
              <w:rPr>
                <w:rFonts w:ascii="Times New Roman" w:hAnsi="Times New Roman" w:cs="Times New Roman"/>
                <w:sz w:val="28"/>
                <w:lang w:val="ru-RU"/>
              </w:rPr>
              <w:t xml:space="preserve">  3</w:t>
            </w:r>
          </w:p>
        </w:tc>
      </w:tr>
    </w:tbl>
    <w:p w:rsidR="00993A67" w:rsidRPr="00993A67" w:rsidRDefault="00993A67" w:rsidP="00D7183F">
      <w:pPr>
        <w:contextualSpacing/>
        <w:jc w:val="both"/>
        <w:rPr>
          <w:rFonts w:ascii="Times New Roman" w:hAnsi="Times New Roman" w:cs="Times New Roman"/>
          <w:sz w:val="14"/>
        </w:rPr>
      </w:pPr>
    </w:p>
    <w:p w:rsidR="00993A67" w:rsidRDefault="00993A67" w:rsidP="00D7183F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D0F22" w:rsidRPr="002D0F22">
        <w:rPr>
          <w:rFonts w:ascii="Times New Roman" w:hAnsi="Times New Roman" w:cs="Times New Roman"/>
          <w:sz w:val="28"/>
        </w:rPr>
        <w:t xml:space="preserve">Обсяг, необхідний для забезпечення діяльності та власних потреб об’єктів замовника, та враховуючи обсяги споживання попереднього </w:t>
      </w:r>
      <w:r>
        <w:rPr>
          <w:rFonts w:ascii="Times New Roman" w:hAnsi="Times New Roman" w:cs="Times New Roman"/>
          <w:sz w:val="28"/>
        </w:rPr>
        <w:t>та поточного календарних років</w:t>
      </w:r>
      <w:r w:rsidR="002D0F22" w:rsidRPr="002D0F22">
        <w:rPr>
          <w:rFonts w:ascii="Times New Roman" w:hAnsi="Times New Roman" w:cs="Times New Roman"/>
          <w:sz w:val="28"/>
        </w:rPr>
        <w:t xml:space="preserve">, становить </w:t>
      </w:r>
      <w:r w:rsidR="00D3395B">
        <w:rPr>
          <w:rFonts w:ascii="Times New Roman" w:hAnsi="Times New Roman" w:cs="Times New Roman"/>
          <w:sz w:val="28"/>
        </w:rPr>
        <w:t>39,2</w:t>
      </w:r>
      <w:r>
        <w:rPr>
          <w:rFonts w:ascii="Times New Roman" w:hAnsi="Times New Roman" w:cs="Times New Roman"/>
          <w:sz w:val="28"/>
        </w:rPr>
        <w:t xml:space="preserve"> тис. м. куб. (39 200 </w:t>
      </w:r>
      <w:proofErr w:type="spellStart"/>
      <w:r>
        <w:rPr>
          <w:rFonts w:ascii="Times New Roman" w:hAnsi="Times New Roman" w:cs="Times New Roman"/>
          <w:sz w:val="28"/>
        </w:rPr>
        <w:t>м.куб</w:t>
      </w:r>
      <w:proofErr w:type="spellEnd"/>
      <w:r>
        <w:rPr>
          <w:rFonts w:ascii="Times New Roman" w:hAnsi="Times New Roman" w:cs="Times New Roman"/>
          <w:sz w:val="28"/>
        </w:rPr>
        <w:t>.)</w:t>
      </w:r>
      <w:r w:rsidR="002D0F22" w:rsidRPr="002D0F22">
        <w:rPr>
          <w:rFonts w:ascii="Times New Roman" w:hAnsi="Times New Roman" w:cs="Times New Roman"/>
          <w:sz w:val="28"/>
        </w:rPr>
        <w:t xml:space="preserve"> до </w:t>
      </w:r>
      <w:r>
        <w:rPr>
          <w:rFonts w:ascii="Times New Roman" w:hAnsi="Times New Roman" w:cs="Times New Roman"/>
          <w:sz w:val="28"/>
        </w:rPr>
        <w:t>31 жовтня</w:t>
      </w:r>
      <w:r w:rsidR="002D0F22" w:rsidRPr="002D0F22">
        <w:rPr>
          <w:rFonts w:ascii="Times New Roman" w:hAnsi="Times New Roman" w:cs="Times New Roman"/>
          <w:sz w:val="28"/>
        </w:rPr>
        <w:t xml:space="preserve"> 2025 року</w:t>
      </w:r>
      <w:r>
        <w:rPr>
          <w:rFonts w:ascii="Times New Roman" w:hAnsi="Times New Roman" w:cs="Times New Roman"/>
          <w:sz w:val="28"/>
        </w:rPr>
        <w:t xml:space="preserve"> (включно)</w:t>
      </w:r>
      <w:r w:rsidR="002D0F22" w:rsidRPr="002D0F22">
        <w:rPr>
          <w:rFonts w:ascii="Times New Roman" w:hAnsi="Times New Roman" w:cs="Times New Roman"/>
          <w:sz w:val="28"/>
        </w:rPr>
        <w:t xml:space="preserve">. </w:t>
      </w:r>
    </w:p>
    <w:p w:rsidR="00993A67" w:rsidRDefault="00993A67" w:rsidP="00D7183F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Термін постачання — з 01.05.2025 р. до</w:t>
      </w:r>
      <w:r w:rsidR="00751620">
        <w:rPr>
          <w:rFonts w:ascii="Times New Roman" w:hAnsi="Times New Roman" w:cs="Times New Roman"/>
          <w:sz w:val="28"/>
        </w:rPr>
        <w:t xml:space="preserve"> 30.10</w:t>
      </w:r>
      <w:r w:rsidR="002D0F22" w:rsidRPr="002D0F22">
        <w:rPr>
          <w:rFonts w:ascii="Times New Roman" w:hAnsi="Times New Roman" w:cs="Times New Roman"/>
          <w:sz w:val="28"/>
        </w:rPr>
        <w:t>.2025 р.</w:t>
      </w:r>
      <w:r>
        <w:rPr>
          <w:rFonts w:ascii="Times New Roman" w:hAnsi="Times New Roman" w:cs="Times New Roman"/>
          <w:sz w:val="28"/>
        </w:rPr>
        <w:t xml:space="preserve"> (включно). </w:t>
      </w:r>
    </w:p>
    <w:p w:rsidR="00D7183F" w:rsidRPr="002D0F22" w:rsidRDefault="00993A67" w:rsidP="00D7183F">
      <w:pPr>
        <w:contextualSpacing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28"/>
        </w:rPr>
        <w:tab/>
      </w:r>
      <w:r w:rsidR="002D0F22" w:rsidRPr="002D0F22">
        <w:rPr>
          <w:rFonts w:ascii="Times New Roman" w:hAnsi="Times New Roman" w:cs="Times New Roman"/>
          <w:sz w:val="28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</w:t>
      </w:r>
      <w:r w:rsidR="002D0F22" w:rsidRPr="002D0F22">
        <w:rPr>
          <w:rFonts w:ascii="Times New Roman" w:hAnsi="Times New Roman" w:cs="Times New Roman"/>
          <w:sz w:val="28"/>
        </w:rPr>
        <w:lastRenderedPageBreak/>
        <w:t xml:space="preserve">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 </w:t>
      </w:r>
    </w:p>
    <w:sectPr w:rsidR="00D7183F" w:rsidRPr="002D0F22" w:rsidSect="00F4661B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70"/>
    <w:rsid w:val="00034F3A"/>
    <w:rsid w:val="00082E39"/>
    <w:rsid w:val="001901F1"/>
    <w:rsid w:val="00272C61"/>
    <w:rsid w:val="002D0F22"/>
    <w:rsid w:val="00446170"/>
    <w:rsid w:val="004D72C8"/>
    <w:rsid w:val="00596800"/>
    <w:rsid w:val="00625AEC"/>
    <w:rsid w:val="00627CA3"/>
    <w:rsid w:val="006A1175"/>
    <w:rsid w:val="0070187B"/>
    <w:rsid w:val="00751620"/>
    <w:rsid w:val="00782D43"/>
    <w:rsid w:val="007A184D"/>
    <w:rsid w:val="007B306E"/>
    <w:rsid w:val="008156DC"/>
    <w:rsid w:val="008A7661"/>
    <w:rsid w:val="00993A67"/>
    <w:rsid w:val="00A017FE"/>
    <w:rsid w:val="00AC724F"/>
    <w:rsid w:val="00B03570"/>
    <w:rsid w:val="00B212A7"/>
    <w:rsid w:val="00BB2FB9"/>
    <w:rsid w:val="00BF527D"/>
    <w:rsid w:val="00C9592D"/>
    <w:rsid w:val="00CE09FE"/>
    <w:rsid w:val="00D3395B"/>
    <w:rsid w:val="00D7183F"/>
    <w:rsid w:val="00EA248E"/>
    <w:rsid w:val="00F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84D"/>
    <w:rPr>
      <w:color w:val="0000FF" w:themeColor="hyperlink"/>
      <w:u w:val="single"/>
    </w:rPr>
  </w:style>
  <w:style w:type="paragraph" w:customStyle="1" w:styleId="rvps2">
    <w:name w:val="rvps2"/>
    <w:basedOn w:val="a"/>
    <w:rsid w:val="007A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2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84D"/>
    <w:rPr>
      <w:color w:val="0000FF" w:themeColor="hyperlink"/>
      <w:u w:val="single"/>
    </w:rPr>
  </w:style>
  <w:style w:type="paragraph" w:customStyle="1" w:styleId="rvps2">
    <w:name w:val="rvps2"/>
    <w:basedOn w:val="a"/>
    <w:rsid w:val="007A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2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7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4499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13</cp:revision>
  <cp:lastPrinted>2025-04-29T06:27:00Z</cp:lastPrinted>
  <dcterms:created xsi:type="dcterms:W3CDTF">2025-04-10T08:15:00Z</dcterms:created>
  <dcterms:modified xsi:type="dcterms:W3CDTF">2025-04-29T06:27:00Z</dcterms:modified>
</cp:coreProperties>
</file>