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1D4CE2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1D4CE2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1D4CE2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D4CE2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1D4CE2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1D4CE2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1D4CE2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1D4CE2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0E433B2D" w:rsidR="00962D6E" w:rsidRPr="001D4CE2" w:rsidRDefault="001D4CE2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1D4CE2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62</w:t>
      </w:r>
      <w:r w:rsidR="00962D6E" w:rsidRPr="001D4CE2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1D4CE2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3D2DA82" w:rsidR="00962D6E" w:rsidRPr="001D4CE2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1D4CE2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1D4CE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1D4CE2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1D4CE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1D4CE2" w:rsidRPr="001D4CE2">
        <w:rPr>
          <w:rFonts w:ascii="Century" w:eastAsia="Century" w:hAnsi="Century" w:cs="Century"/>
          <w:b/>
          <w:sz w:val="32"/>
          <w:szCs w:val="32"/>
          <w:lang w:eastAsia="uk-UA"/>
        </w:rPr>
        <w:t>25/62-8504</w:t>
      </w:r>
    </w:p>
    <w:p w14:paraId="1B769DF1" w14:textId="757D7F12" w:rsidR="00962D6E" w:rsidRPr="001D4CE2" w:rsidRDefault="001D4CE2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1D4CE2">
        <w:rPr>
          <w:rFonts w:ascii="Century" w:eastAsia="Century" w:hAnsi="Century" w:cs="Century"/>
          <w:sz w:val="28"/>
          <w:szCs w:val="28"/>
          <w:lang w:eastAsia="uk-UA"/>
        </w:rPr>
        <w:t>24</w:t>
      </w:r>
      <w:r w:rsidR="002B2E25" w:rsidRPr="001D4CE2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BF33EE" w:rsidRPr="001D4CE2">
        <w:rPr>
          <w:rFonts w:ascii="Century" w:eastAsia="Century" w:hAnsi="Century" w:cs="Century"/>
          <w:sz w:val="28"/>
          <w:szCs w:val="28"/>
          <w:lang w:eastAsia="uk-UA"/>
        </w:rPr>
        <w:t>квітня</w:t>
      </w:r>
      <w:r w:rsidR="00A235EC" w:rsidRPr="001D4CE2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1D4CE2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1D4CE2">
        <w:rPr>
          <w:rFonts w:ascii="Century" w:eastAsia="Century" w:hAnsi="Century" w:cs="Century"/>
          <w:sz w:val="28"/>
          <w:szCs w:val="28"/>
          <w:lang w:eastAsia="uk-UA"/>
        </w:rPr>
        <w:t xml:space="preserve">     м. Городок</w:t>
      </w:r>
    </w:p>
    <w:p w14:paraId="23CB087B" w14:textId="05435418" w:rsidR="00AB4989" w:rsidRPr="001D4CE2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1D4CE2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1D4CE2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1D4CE2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1D4CE2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7E51DA" w:rsidRPr="001D4CE2">
        <w:rPr>
          <w:rFonts w:ascii="Century" w:hAnsi="Century"/>
          <w:b/>
          <w:bCs/>
          <w:sz w:val="28"/>
          <w:szCs w:val="28"/>
          <w:lang w:eastAsia="uk-UA"/>
        </w:rPr>
        <w:t>Статуту</w:t>
      </w:r>
      <w:r w:rsidRPr="001D4CE2">
        <w:rPr>
          <w:rFonts w:ascii="Century" w:hAnsi="Century"/>
          <w:b/>
          <w:bCs/>
          <w:sz w:val="28"/>
          <w:szCs w:val="28"/>
          <w:lang w:eastAsia="uk-UA"/>
        </w:rPr>
        <w:t xml:space="preserve"> комунального некомерційного підприємства «Городоцька центральна лікарня» Городоцької міської ради Львівської області </w:t>
      </w:r>
    </w:p>
    <w:p w14:paraId="3F111AA5" w14:textId="77777777" w:rsidR="00AB4989" w:rsidRPr="001D4CE2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6D440F42" w:rsidR="00497767" w:rsidRPr="001D4CE2" w:rsidRDefault="002631F4" w:rsidP="001D4CE2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D4CE2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</w:t>
      </w:r>
      <w:r w:rsidR="007E51DA" w:rsidRPr="001D4CE2">
        <w:rPr>
          <w:rFonts w:ascii="Century" w:hAnsi="Century"/>
          <w:sz w:val="28"/>
          <w:szCs w:val="28"/>
          <w:lang w:eastAsia="uk-UA"/>
        </w:rPr>
        <w:t>Статуту</w:t>
      </w:r>
      <w:r w:rsidRPr="001D4CE2">
        <w:rPr>
          <w:rFonts w:ascii="Century" w:hAnsi="Century"/>
          <w:sz w:val="28"/>
          <w:szCs w:val="28"/>
          <w:lang w:eastAsia="uk-UA"/>
        </w:rPr>
        <w:t xml:space="preserve"> комунального некомерційного підприємства «Городоцька центральна лікарня» Городоцької міської ради Львівської області, </w:t>
      </w:r>
      <w:r w:rsidR="00497767" w:rsidRPr="001D4CE2">
        <w:rPr>
          <w:rFonts w:ascii="Century" w:hAnsi="Century"/>
          <w:sz w:val="28"/>
          <w:szCs w:val="28"/>
          <w:lang w:eastAsia="uk-UA"/>
        </w:rPr>
        <w:t xml:space="preserve">керуючись </w:t>
      </w:r>
      <w:r w:rsidR="00AB4989" w:rsidRPr="001D4CE2">
        <w:rPr>
          <w:rFonts w:ascii="Century" w:hAnsi="Century"/>
          <w:sz w:val="28"/>
          <w:szCs w:val="28"/>
          <w:lang w:eastAsia="uk-UA"/>
        </w:rPr>
        <w:t>Закон</w:t>
      </w:r>
      <w:r w:rsidR="00F87BEC" w:rsidRPr="001D4CE2">
        <w:rPr>
          <w:rFonts w:ascii="Century" w:hAnsi="Century"/>
          <w:sz w:val="28"/>
          <w:szCs w:val="28"/>
          <w:lang w:eastAsia="uk-UA"/>
        </w:rPr>
        <w:t>ом</w:t>
      </w:r>
      <w:r w:rsidR="00AB4989" w:rsidRPr="001D4CE2">
        <w:rPr>
          <w:rFonts w:ascii="Century" w:hAnsi="Century"/>
          <w:sz w:val="28"/>
          <w:szCs w:val="28"/>
          <w:lang w:eastAsia="uk-UA"/>
        </w:rPr>
        <w:t xml:space="preserve"> України «Про місцеве самоврядування </w:t>
      </w:r>
      <w:r w:rsidR="00497767" w:rsidRPr="001D4CE2">
        <w:rPr>
          <w:rFonts w:ascii="Century" w:hAnsi="Century"/>
          <w:sz w:val="28"/>
          <w:szCs w:val="28"/>
          <w:lang w:eastAsia="uk-UA"/>
        </w:rPr>
        <w:t>в Україні»</w:t>
      </w:r>
      <w:r w:rsidR="00AB4989" w:rsidRPr="001D4CE2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1D4CE2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1D4CE2" w:rsidRDefault="00497767" w:rsidP="001D4CE2">
      <w:pPr>
        <w:suppressAutoHyphens w:val="0"/>
        <w:spacing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1D4CE2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634A693A" w14:textId="202298F2" w:rsidR="0059782D" w:rsidRPr="001D4CE2" w:rsidRDefault="00497767" w:rsidP="001D4CE2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D4CE2">
        <w:rPr>
          <w:rFonts w:ascii="Century" w:hAnsi="Century"/>
          <w:sz w:val="28"/>
          <w:szCs w:val="28"/>
          <w:lang w:eastAsia="uk-UA"/>
        </w:rPr>
        <w:t>1.</w:t>
      </w:r>
      <w:r w:rsidR="00A235EC" w:rsidRPr="001D4CE2">
        <w:rPr>
          <w:rFonts w:ascii="Century" w:hAnsi="Century"/>
          <w:sz w:val="28"/>
          <w:szCs w:val="28"/>
          <w:lang w:eastAsia="uk-UA"/>
        </w:rPr>
        <w:t xml:space="preserve">Внести зміни до </w:t>
      </w:r>
      <w:r w:rsidR="007E51DA" w:rsidRPr="001D4CE2">
        <w:rPr>
          <w:rFonts w:ascii="Century" w:hAnsi="Century"/>
          <w:sz w:val="28"/>
          <w:szCs w:val="28"/>
          <w:lang w:eastAsia="uk-UA"/>
        </w:rPr>
        <w:t>Статуту</w:t>
      </w:r>
      <w:r w:rsidR="002631F4" w:rsidRPr="001D4CE2">
        <w:rPr>
          <w:rFonts w:ascii="Century" w:hAnsi="Century"/>
          <w:sz w:val="28"/>
          <w:szCs w:val="28"/>
          <w:lang w:eastAsia="uk-UA"/>
        </w:rPr>
        <w:t xml:space="preserve"> </w:t>
      </w:r>
      <w:r w:rsidR="007E51DA" w:rsidRPr="001D4CE2">
        <w:rPr>
          <w:rFonts w:ascii="Century" w:hAnsi="Century"/>
          <w:sz w:val="28"/>
          <w:szCs w:val="28"/>
          <w:lang w:eastAsia="uk-UA"/>
        </w:rPr>
        <w:t>К</w:t>
      </w:r>
      <w:r w:rsidR="00AB4989" w:rsidRPr="001D4CE2">
        <w:rPr>
          <w:rFonts w:ascii="Century" w:hAnsi="Century"/>
          <w:sz w:val="28"/>
          <w:szCs w:val="28"/>
          <w:lang w:eastAsia="uk-UA"/>
        </w:rPr>
        <w:t>омунального некомерційного підприємства «Городоцька центральна лікарня» Городоцької міської ради Львівської області</w:t>
      </w:r>
      <w:r w:rsidR="007E51DA" w:rsidRPr="001D4CE2">
        <w:rPr>
          <w:rFonts w:ascii="Century" w:hAnsi="Century"/>
          <w:sz w:val="28"/>
          <w:szCs w:val="28"/>
          <w:lang w:eastAsia="uk-UA"/>
        </w:rPr>
        <w:t xml:space="preserve">, який затверджений рішенням сесії Городоцької міської ради Львівської області від 26 травня 2022 р. № 22/22-4937, </w:t>
      </w:r>
      <w:r w:rsidR="0059782D" w:rsidRPr="001D4CE2">
        <w:rPr>
          <w:rFonts w:ascii="Century" w:hAnsi="Century"/>
          <w:sz w:val="28"/>
          <w:szCs w:val="28"/>
          <w:lang w:eastAsia="uk-UA"/>
        </w:rPr>
        <w:t>а саме п.3.5. Статуту викласти в наступній редакції:</w:t>
      </w:r>
    </w:p>
    <w:p w14:paraId="105C03FB" w14:textId="77777777" w:rsidR="0059782D" w:rsidRPr="001D4CE2" w:rsidRDefault="0059782D" w:rsidP="001D4CE2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D4CE2">
        <w:rPr>
          <w:rFonts w:ascii="Century" w:hAnsi="Century"/>
          <w:sz w:val="28"/>
          <w:szCs w:val="28"/>
          <w:lang w:eastAsia="uk-UA"/>
        </w:rPr>
        <w:t>Підприємство має право займатися роздрібною торгівлею фармацевтичними товарами та іншими видами діяльності не передбаченими у цьому Статуті і не забороненими законодавством України.</w:t>
      </w:r>
    </w:p>
    <w:p w14:paraId="0DC11311" w14:textId="77777777" w:rsidR="0059782D" w:rsidRPr="001D4CE2" w:rsidRDefault="0059782D" w:rsidP="001D4CE2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D4CE2">
        <w:rPr>
          <w:rFonts w:ascii="Century" w:hAnsi="Century"/>
          <w:sz w:val="28"/>
          <w:szCs w:val="28"/>
          <w:lang w:eastAsia="uk-UA"/>
        </w:rPr>
        <w:t>2. Затвердити нову редакцію Статуту з врахуванням змін.</w:t>
      </w:r>
    </w:p>
    <w:p w14:paraId="4C57F861" w14:textId="139DDE76" w:rsidR="00497767" w:rsidRPr="001D4CE2" w:rsidRDefault="0059782D" w:rsidP="001D4CE2">
      <w:pPr>
        <w:suppressAutoHyphens w:val="0"/>
        <w:spacing w:line="276" w:lineRule="auto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1D4CE2">
        <w:rPr>
          <w:rFonts w:ascii="Century" w:hAnsi="Century"/>
          <w:sz w:val="28"/>
          <w:szCs w:val="28"/>
          <w:lang w:eastAsia="uk-UA"/>
        </w:rPr>
        <w:t>3</w:t>
      </w:r>
      <w:r w:rsidR="006117F6" w:rsidRPr="001D4CE2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1D4CE2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1D4CE2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1D4CE2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1D4CE2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1D4CE2">
        <w:rPr>
          <w:rFonts w:ascii="Century" w:hAnsi="Century"/>
          <w:sz w:val="28"/>
          <w:szCs w:val="28"/>
          <w:lang w:eastAsia="uk-UA"/>
        </w:rPr>
        <w:t>о</w:t>
      </w:r>
      <w:r w:rsidR="00497767" w:rsidRPr="001D4CE2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1D4CE2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1D4CE2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1D4CE2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1D4CE2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1D4CE2">
        <w:rPr>
          <w:rFonts w:ascii="Century" w:hAnsi="Century"/>
          <w:sz w:val="28"/>
          <w:szCs w:val="28"/>
          <w:lang w:eastAsia="uk-UA"/>
        </w:rPr>
        <w:t>.</w:t>
      </w:r>
    </w:p>
    <w:p w14:paraId="5FB92E14" w14:textId="2B5D4992" w:rsidR="001D4CE2" w:rsidRPr="001D4CE2" w:rsidRDefault="00497767" w:rsidP="001D4CE2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1D4CE2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1D4CE2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1D4CE2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D4CE2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D4CE2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D4CE2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1D4CE2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</w:t>
      </w:r>
      <w:r w:rsidRPr="001D4CE2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  <w:r w:rsidR="001D4CE2" w:rsidRPr="001D4CE2"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5B41CCB0" w14:textId="77777777" w:rsidR="001D4CE2" w:rsidRDefault="001D4CE2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065654E2" w14:textId="77777777" w:rsidR="001D4CE2" w:rsidRPr="009366CA" w:rsidRDefault="001D4CE2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39030684" w14:textId="6C4BDA68" w:rsidR="001D4CE2" w:rsidRPr="009366CA" w:rsidRDefault="001D4CE2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24.0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25/62-8504</w:t>
      </w:r>
    </w:p>
    <w:p w14:paraId="199F1C4D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09420809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0061E55C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4D66C1C8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6FC278F1" w14:textId="77777777" w:rsidR="00123313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1E475981" w14:textId="77777777" w:rsidR="00123313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125E707E" w14:textId="77777777" w:rsidR="00123313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5DB0F552" w14:textId="77777777" w:rsidR="00123313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37523CC5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40"/>
          <w:lang w:val="ru-RU" w:eastAsia="zh-CN" w:bidi="hi-IN"/>
        </w:rPr>
      </w:pPr>
    </w:p>
    <w:p w14:paraId="673F4F53" w14:textId="5143F671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 w:val="36"/>
          <w:szCs w:val="22"/>
          <w:lang w:val="ru-RU" w:eastAsia="zh-CN" w:bidi="hi-IN"/>
        </w:rPr>
        <w:t>С Т А Т У Т</w:t>
      </w:r>
    </w:p>
    <w:p w14:paraId="02D312B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Комунального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некомерційного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</w:t>
      </w:r>
    </w:p>
    <w:p w14:paraId="7682087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«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Городоцька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центральна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лікарня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» </w:t>
      </w:r>
    </w:p>
    <w:p w14:paraId="758AAA9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Городоцької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міської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ради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Львівської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області</w:t>
      </w:r>
      <w:proofErr w:type="spellEnd"/>
    </w:p>
    <w:p w14:paraId="63BF8E5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 xml:space="preserve">(нова </w:t>
      </w:r>
      <w:proofErr w:type="spellStart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редакція</w:t>
      </w:r>
      <w:proofErr w:type="spellEnd"/>
      <w:r w:rsidRPr="001D4CE2">
        <w:rPr>
          <w:rFonts w:ascii="Century" w:hAnsi="Century"/>
          <w:b/>
          <w:color w:val="000000"/>
          <w:kern w:val="1"/>
          <w:sz w:val="32"/>
          <w:szCs w:val="22"/>
          <w:lang w:val="ru-RU" w:eastAsia="zh-CN" w:bidi="hi-IN"/>
        </w:rPr>
        <w:t>)</w:t>
      </w:r>
    </w:p>
    <w:p w14:paraId="46C57D7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</w:pPr>
    </w:p>
    <w:p w14:paraId="216A5B5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rPr>
          <w:rFonts w:ascii="Century" w:eastAsiaTheme="minorEastAsia" w:hAnsi="Century"/>
          <w:color w:val="000000"/>
          <w:kern w:val="1"/>
          <w:sz w:val="28"/>
          <w:lang w:val="ru-RU" w:eastAsia="zh-CN" w:bidi="hi-IN"/>
        </w:rPr>
      </w:pPr>
    </w:p>
    <w:p w14:paraId="083E61F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rPr>
          <w:rFonts w:ascii="Century" w:eastAsiaTheme="minorEastAsia" w:hAnsi="Century"/>
          <w:color w:val="000000"/>
          <w:kern w:val="1"/>
          <w:sz w:val="28"/>
          <w:lang w:val="ru-RU" w:eastAsia="zh-CN" w:bidi="hi-IN"/>
        </w:rPr>
      </w:pPr>
    </w:p>
    <w:p w14:paraId="5C41CA6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rPr>
          <w:rFonts w:ascii="Century" w:eastAsiaTheme="minorEastAsia" w:hAnsi="Century"/>
          <w:color w:val="000000"/>
          <w:kern w:val="1"/>
          <w:sz w:val="28"/>
          <w:lang w:val="ru-RU" w:eastAsia="zh-CN" w:bidi="hi-IN"/>
        </w:rPr>
      </w:pPr>
    </w:p>
    <w:p w14:paraId="62FF952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020B00E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7B2E1C5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33023CEE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1BF907C8" w14:textId="77777777" w:rsidR="00123313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58CEC4E5" w14:textId="77777777" w:rsidR="00123313" w:rsidRPr="001D4CE2" w:rsidRDefault="00123313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77E842A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2452432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02E82A3C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1FA8F034" w14:textId="77777777" w:rsid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4821977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2F13BB6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eastAsia="zh-CN" w:bidi="hi-IN"/>
        </w:rPr>
      </w:pPr>
    </w:p>
    <w:p w14:paraId="23095E5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b/>
          <w:i/>
          <w:color w:val="000000"/>
          <w:kern w:val="1"/>
          <w:sz w:val="28"/>
          <w:lang w:val="ru-RU" w:eastAsia="zh-CN" w:bidi="hi-IN"/>
        </w:rPr>
      </w:pPr>
    </w:p>
    <w:p w14:paraId="39744BF4" w14:textId="0FCDEE8A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color w:val="000000"/>
          <w:kern w:val="1"/>
          <w:sz w:val="28"/>
          <w:lang w:eastAsia="zh-CN" w:bidi="hi-IN"/>
        </w:rPr>
      </w:pPr>
      <w:r w:rsidRPr="001D4CE2">
        <w:rPr>
          <w:rFonts w:ascii="Century" w:hAnsi="Century"/>
          <w:b/>
          <w:color w:val="000000"/>
          <w:kern w:val="1"/>
          <w:sz w:val="28"/>
          <w:lang w:val="ru-RU" w:eastAsia="zh-CN" w:bidi="hi-IN"/>
        </w:rPr>
        <w:t>Городок – 202</w:t>
      </w:r>
      <w:r w:rsidRPr="001D4CE2">
        <w:rPr>
          <w:rFonts w:ascii="Century" w:hAnsi="Century"/>
          <w:b/>
          <w:color w:val="000000"/>
          <w:kern w:val="1"/>
          <w:sz w:val="28"/>
          <w:lang w:eastAsia="zh-CN" w:bidi="hi-IN"/>
        </w:rPr>
        <w:t>5</w:t>
      </w:r>
    </w:p>
    <w:p w14:paraId="6A44E000" w14:textId="77777777" w:rsidR="001D4CE2" w:rsidRPr="001D4CE2" w:rsidRDefault="001D4CE2">
      <w:pPr>
        <w:suppressAutoHyphens w:val="0"/>
        <w:spacing w:after="200" w:line="276" w:lineRule="auto"/>
        <w:rPr>
          <w:rFonts w:ascii="Century" w:hAnsi="Century"/>
          <w:b/>
          <w:color w:val="000000"/>
          <w:kern w:val="1"/>
          <w:sz w:val="28"/>
          <w:lang w:eastAsia="zh-CN" w:bidi="hi-IN"/>
        </w:rPr>
      </w:pPr>
      <w:r w:rsidRPr="001D4CE2">
        <w:rPr>
          <w:rFonts w:ascii="Century" w:hAnsi="Century"/>
          <w:b/>
          <w:color w:val="000000"/>
          <w:kern w:val="1"/>
          <w:sz w:val="28"/>
          <w:lang w:eastAsia="zh-CN" w:bidi="hi-IN"/>
        </w:rPr>
        <w:br w:type="page"/>
      </w:r>
    </w:p>
    <w:p w14:paraId="2D4D76A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jc w:val="center"/>
        <w:rPr>
          <w:rFonts w:ascii="Century" w:eastAsiaTheme="minorEastAsia" w:hAnsi="Century"/>
          <w:kern w:val="1"/>
          <w:lang w:val="ru-RU" w:eastAsia="zh-CN" w:bidi="hi-IN"/>
        </w:rPr>
      </w:pPr>
    </w:p>
    <w:p w14:paraId="14C3A031" w14:textId="77777777" w:rsidR="001D4CE2" w:rsidRPr="001D4CE2" w:rsidRDefault="001D4CE2" w:rsidP="001D4CE2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right="-1" w:firstLine="0"/>
        <w:jc w:val="both"/>
        <w:rPr>
          <w:rFonts w:ascii="Century" w:hAnsi="Century"/>
          <w:b/>
          <w:color w:val="000000"/>
          <w:kern w:val="1"/>
          <w:szCs w:val="22"/>
          <w:lang w:eastAsia="zh-CN" w:bidi="hi-IN"/>
        </w:rPr>
      </w:pP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Загальні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положення</w:t>
      </w:r>
      <w:proofErr w:type="spellEnd"/>
    </w:p>
    <w:p w14:paraId="2FE5270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</w:p>
    <w:p w14:paraId="05163BD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1.1. Комунальне некомерційне підприємство “Городоцька центральна лікарня“ Городоцької міської ради Львівської області (надалі – Підприємство) є лікарняним (спеціалізованим) закладом охорони здоров’я – комунальним унітарним некомерційним підприємством, яке надає послуги вторинної медичної допомоги будь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яким особам у порядку та на умовах, встановлених законодавством України та цим Статутом. </w:t>
      </w:r>
    </w:p>
    <w:p w14:paraId="41025ED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1.2. Підприємство перейменоване, відповідно до рішення Городоцької міської ради від 29.12.2020р. № 117 «Про прийняття у власність Комунального некомерційного підприємства «Городоцька центральна лікарня» Городоцької міської ради Львівської області», відповідно до Закону України “Про місцеве самоврядування в Україні“, з комунального некомерційного підприємства “Городоцька центральна районна лікарня“  Городоцької районної ради Львівської області у комунальне некомерційне підприємство “Городоцька центральна  лікарня“ Городоцької міської ради Львівської області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</w:p>
    <w:p w14:paraId="12FDB06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1.3. Майно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власн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стю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територ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альної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громади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м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Городка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 Львівської області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особ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Городоцької міської ради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</w:p>
    <w:p w14:paraId="296640A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створене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надалі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–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). </w:t>
      </w:r>
    </w:p>
    <w:p w14:paraId="52CA441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органом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Городоцька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територіальна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громада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особі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області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надалі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–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підпорядкованим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підзвітним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підконтрольним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34A2296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некомерційну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спрямовану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досягнення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результатів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без мети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одержання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прибутку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C1A229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eastAsiaTheme="minorEastAsia" w:hAnsi="Century"/>
          <w:color w:val="FF0000"/>
          <w:kern w:val="1"/>
          <w:szCs w:val="22"/>
          <w:lang w:val="ru-RU" w:eastAsia="zh-CN" w:bidi="hi-IN"/>
        </w:rPr>
        <w:tab/>
      </w:r>
      <w:r w:rsidRPr="001D4CE2">
        <w:rPr>
          <w:rFonts w:ascii="Century" w:eastAsiaTheme="minorEastAsia" w:hAnsi="Century"/>
          <w:color w:val="FF0000"/>
          <w:kern w:val="1"/>
          <w:szCs w:val="22"/>
          <w:lang w:eastAsia="zh-CN" w:bidi="hi-IN"/>
        </w:rPr>
        <w:t xml:space="preserve">  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1.7.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 </w:t>
      </w:r>
    </w:p>
    <w:p w14:paraId="21AEB99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1.8. Не вважається розподілом доходів Підприємства, у розумінні  п. 1.7 цього Статуту, використання Підприємством власних доходів (прибутків) виключно для фінансування видатків на утримання такої неприбуткової організації, реалізації мети (цілей, завдань) та напрямів діяльності, визначених Статутом. </w:t>
      </w:r>
    </w:p>
    <w:p w14:paraId="4713173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Конституцією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Цивільним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Кодексами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законами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постановами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Верховної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актами Президента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Кабінету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Міністрів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загальнообов’язковими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всіх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наказами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інструкціями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Міністерства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загальнообов’язковими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нормативними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актами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центральних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виконавчої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виконавчої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самоврядування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26F9E9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</w:p>
    <w:p w14:paraId="4F248E8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2.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Найменування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місцезнаходження</w:t>
      </w:r>
      <w:proofErr w:type="spellEnd"/>
    </w:p>
    <w:p w14:paraId="487CB24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72D104F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2.1.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Найменування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</w:p>
    <w:p w14:paraId="57B8857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2.1.1.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назва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некомерційне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“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центральна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лікарня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“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області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CE6261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2.1.2.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Скорочена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назва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: КНП “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ЦЛ“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ради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45008B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en-US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en" w:eastAsia="zh-CN" w:bidi="hi-IN"/>
        </w:rPr>
        <w:lastRenderedPageBreak/>
        <w:t xml:space="preserve">2.1.3.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найменування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англійською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мовою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–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>ommunal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noncommercial enterprise " 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Н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>orodok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Central Hospital " 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Н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>orodok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city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council of the Lviv area.</w:t>
      </w:r>
    </w:p>
    <w:p w14:paraId="0D6BFFF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en-US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en" w:eastAsia="zh-CN" w:bidi="hi-IN"/>
        </w:rPr>
        <w:t xml:space="preserve">2.1.4.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Скорочене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найменування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англійською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мовою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– 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С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>NE «</w:t>
      </w:r>
      <w:r w:rsidRPr="001D4CE2">
        <w:rPr>
          <w:rFonts w:ascii="Century" w:hAnsi="Century"/>
          <w:color w:val="000000"/>
          <w:kern w:val="1"/>
          <w:szCs w:val="22"/>
          <w:highlight w:val="white"/>
          <w:lang w:val="ru-RU" w:eastAsia="zh-CN" w:bidi="hi-IN"/>
        </w:rPr>
        <w:t>Н</w:t>
      </w:r>
      <w:proofErr w:type="spellStart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>orodok</w:t>
      </w:r>
      <w:proofErr w:type="spellEnd"/>
      <w:r w:rsidRPr="001D4CE2">
        <w:rPr>
          <w:rFonts w:ascii="Century" w:hAnsi="Century"/>
          <w:color w:val="000000"/>
          <w:kern w:val="1"/>
          <w:szCs w:val="22"/>
          <w:highlight w:val="white"/>
          <w:lang w:val="en-US" w:eastAsia="zh-CN" w:bidi="hi-IN"/>
        </w:rPr>
        <w:t xml:space="preserve"> CH» HCC.</w:t>
      </w:r>
    </w:p>
    <w:p w14:paraId="0347A79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en-US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en" w:eastAsia="zh-CN" w:bidi="hi-IN"/>
        </w:rPr>
        <w:t xml:space="preserve">2.2.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Місцезнаходження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: 81500,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.,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en-US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,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en-US" w:eastAsia="zh-CN" w:bidi="hi-IN"/>
        </w:rPr>
        <w:t>.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Городок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 xml:space="preserve">, </w:t>
      </w:r>
      <w:proofErr w:type="spellStart"/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вул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en-US" w:eastAsia="zh-CN" w:bidi="hi-IN"/>
        </w:rPr>
        <w:t>.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Коцюбинського</w:t>
      </w:r>
      <w:proofErr w:type="spellEnd"/>
      <w:proofErr w:type="gramEnd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, 18.</w:t>
      </w:r>
    </w:p>
    <w:p w14:paraId="6EF5CF5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b/>
          <w:color w:val="000000"/>
          <w:kern w:val="1"/>
          <w:szCs w:val="22"/>
          <w:lang w:val="en" w:eastAsia="zh-CN" w:bidi="hi-IN"/>
        </w:rPr>
      </w:pPr>
    </w:p>
    <w:p w14:paraId="671FCA8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3. Мета та предмет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</w:p>
    <w:p w14:paraId="49AA1F2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1E7AAB4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3.1. Основною метою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обслуговування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населення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через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обсязі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30AC4B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поставленої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мети предметом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є: </w:t>
      </w:r>
    </w:p>
    <w:p w14:paraId="2F2AC56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разом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умов,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доступної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якісної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населенню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внутрішнім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лікувально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діагностичним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процесом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ефективного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ресурсів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6E4D1F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пацієнтам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безоплатній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вторинної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стаціонарної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у тому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числі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екстреної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невідкладної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профілактики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діагностики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хвороб, травм,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отруєнь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контролю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перебігом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вагітності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й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пологів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післяпологового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періоду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357FC1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пацієнтам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безоплатній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спеціалізованої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амбулаторної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спеціалізована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практика). </w:t>
      </w:r>
    </w:p>
    <w:p w14:paraId="416F1F3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потреби,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пацієнтам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більш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високого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рівня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через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скеровування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пацієнтів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F0DCD3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взаємодії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закладами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метою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наступництва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різних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рівнях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ефективного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ресурсів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системи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обслуговування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F87567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експертизи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тимчасової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непрацездатності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контролю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видачею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листків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непрацездатності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60D84C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Скеровування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медико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експертизу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осіб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стійкою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втратою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працездатності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FAC775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профілактичних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оглядів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66A96A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Придбання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зберігання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перевезення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відпуск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знищення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наркотичних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засобів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психотропних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речовин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прекурсорів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223378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Придбання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зберігання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перевезення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знищення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лікарських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засобів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6C14FC5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з’їздів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конгресів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симпозіумів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науково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практичних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конференцій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наукових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форумів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круглих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столів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семінарів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тощо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C229E4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Навчально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методична,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науково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дослідницька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робота. </w:t>
      </w:r>
    </w:p>
    <w:p w14:paraId="571FEF6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Провадження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зовнішньоекономічної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F31016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забороненої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підвищення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лікувально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діагностичного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процесу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ресурсами,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розвитку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підвищення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кадрового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потенціалу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160F162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 xml:space="preserve">3.2.15.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спеціалізованих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виїздом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додому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автомобільним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транспортом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5BD25C5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сервісних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чинного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02D64F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телемедичних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588694F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3.2.18.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Транспортні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спецавтотранспортом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</w:p>
    <w:p w14:paraId="3E0DCE0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3.2.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19.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паліативної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2A4C30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3.2.20. Зберігання тіл в холодильній камері.</w:t>
      </w:r>
    </w:p>
    <w:p w14:paraId="75DA7BA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3.3. Підприємство може бути клінічною базою вищих медичних, фармацевтичних навчальних та науково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дослідних закладів (установ) усіх рівнів акредитації та закладів післядипломної освіти. </w:t>
      </w:r>
    </w:p>
    <w:p w14:paraId="59C73BB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підставі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ліцензії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практику.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провадження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потрібний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спеціальний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дозвіл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B49D6C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3.5.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займатися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роздрібною торгівлею фармацевтичними товарами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видами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Статуті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забороненими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AC19C8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FF0000"/>
          <w:kern w:val="1"/>
          <w:szCs w:val="22"/>
          <w:lang w:val="ru-RU" w:eastAsia="zh-CN" w:bidi="hi-IN"/>
        </w:rPr>
      </w:pPr>
    </w:p>
    <w:p w14:paraId="209FF4F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4.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Правовий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статус</w:t>
      </w:r>
    </w:p>
    <w:p w14:paraId="33865BF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4483B6B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публічного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права. Права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набуває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дня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реєстрації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C05D1C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користується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закріпленим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ним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власністю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Городоцької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територіальної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громади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області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особі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Городоцької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ради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порядку.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бути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звернено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стягнення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кредиторів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564E128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некомерційну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організовує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свою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плану,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затвердженого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організовує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виробництво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продукції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робіт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цінами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(тарифами),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C292D8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4.4.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некомерційної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залучає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використовує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матеріально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технічні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ресурсів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заборонено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2C3F97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баланс,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рахунки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установах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банків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Державному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казначействі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круглу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печатку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найменуванням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штампи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бланки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реквізитами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34551B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угоди (договори),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набувати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особистих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немайнових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прав, нести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бути особою, яка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бере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участь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розглядається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судах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міжнародних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третейських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судах. </w:t>
      </w:r>
    </w:p>
    <w:p w14:paraId="255DE33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свою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організаційну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структуру,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чисельність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штатний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розпис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DE315E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підставі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ліцензії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практику.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лише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практики,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дозволені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ліцензування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видачі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ліцензії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практику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BCC96C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4.9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Підприємство самостійно може розробляти та затверджувати вартість деяких послуг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</w:p>
    <w:p w14:paraId="62C1829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4.10.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Збитки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внаслідок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самоврядування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було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судом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неконституційними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недійсними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підлягають</w:t>
      </w:r>
      <w:proofErr w:type="spellEnd"/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відшкодуванню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зазначеними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добровільно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суду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4BCF34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</w:pPr>
    </w:p>
    <w:p w14:paraId="4FCE3C7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5.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Статутний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капітал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фінансування</w:t>
      </w:r>
      <w:proofErr w:type="spellEnd"/>
    </w:p>
    <w:p w14:paraId="35F19DB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113CF13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власністю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ним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становлять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необоротні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оборотні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активи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засоби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грошові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цінності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перебуває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вартість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відображається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балансі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  <w:r w:rsidRPr="001D4CE2">
        <w:rPr>
          <w:rFonts w:ascii="Century" w:hAnsi="Century"/>
          <w:color w:val="FF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володіє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користується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зазначеним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9FF96F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відчужувати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закріплене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ним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належить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фондів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без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попередньої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згоди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безоплатно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третім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особам),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крім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випадків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прямо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стосуються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права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земельну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ділянку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знаходиться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балансі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відчуження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вирішуються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виключно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D503BF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Джерелами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формування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є: </w:t>
      </w:r>
    </w:p>
    <w:p w14:paraId="5A19DE6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перебуває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територіальними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громадами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D75130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Державного бюджету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бюджету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бюджетні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).</w:t>
      </w:r>
    </w:p>
    <w:p w14:paraId="7F6864B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5.3.3. 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субвенції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державного бюджету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субвенції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бюджетів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бюджетними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програмами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62ED750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5.3.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4.Власні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надходження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здачі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оренду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закріпленого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;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одержані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продукції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робіт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). </w:t>
      </w:r>
    </w:p>
    <w:p w14:paraId="4AAFB41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Цільові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19D67D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договорами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центральним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виконавчої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політику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сфері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обслуговування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населення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Національна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служба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). </w:t>
      </w:r>
    </w:p>
    <w:p w14:paraId="1EA5A2D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Кредити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банків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365A02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придбане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осіб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7CBD9D8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eastAsiaTheme="minorEastAsia" w:hAnsi="Century"/>
          <w:color w:val="FF0000"/>
          <w:kern w:val="1"/>
          <w:szCs w:val="22"/>
          <w:lang w:val="ru-RU" w:eastAsia="zh-CN" w:bidi="hi-IN"/>
        </w:rPr>
        <w:tab/>
      </w:r>
      <w:r w:rsidRPr="001D4CE2">
        <w:rPr>
          <w:rFonts w:ascii="Century" w:eastAsiaTheme="minorEastAsia" w:hAnsi="Century"/>
          <w:color w:val="FF0000"/>
          <w:kern w:val="1"/>
          <w:szCs w:val="22"/>
          <w:lang w:eastAsia="zh-CN" w:bidi="hi-IN"/>
        </w:rPr>
        <w:t xml:space="preserve">  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5.3.9. Майно, що надходить безоплатно або у вигляді безповоротної фінансової допомоги чи добровільних благодійних внесків, пожертвувань юридичних і фізичних осіб; надходження коштів на виконання програм соціально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економічного розвитку регіону, програм розвитку медичної галузі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>.</w:t>
      </w:r>
    </w:p>
    <w:p w14:paraId="115242E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джерел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заборонених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BDE5F2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    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5.3.11.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джерела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заборонені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3CF4577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Вилучення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лише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випадках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4CB7DD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одержувати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кредити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статутних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DA686C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оренду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закріплене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ним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локальних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нормативних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самоврядування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88C6D0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 xml:space="preserve">5.7.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організовує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облік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веде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статистичну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звітність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органам,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уповноваженим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контроль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напрямами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E40B53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5.8.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надходження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використовуються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374AD8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5.9. Статутний капітал підприємства утворюється та змінюється за рішенням Засновника.</w:t>
      </w:r>
    </w:p>
    <w:p w14:paraId="4E314CB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FF0000"/>
          <w:kern w:val="1"/>
          <w:szCs w:val="22"/>
          <w:lang w:eastAsia="zh-CN" w:bidi="hi-IN"/>
        </w:rPr>
      </w:pPr>
    </w:p>
    <w:p w14:paraId="5458BEF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6. Права та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обов’язки</w:t>
      </w:r>
      <w:proofErr w:type="spellEnd"/>
    </w:p>
    <w:p w14:paraId="6BA2728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520F8CD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право: </w:t>
      </w:r>
    </w:p>
    <w:p w14:paraId="399BD79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Звертатися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центральних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виконавчої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самоврядування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незалежно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форм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підпорядкування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інформації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матеріалів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покладених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AA9DB5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планувати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організовувати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свою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статутну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напрямки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розвитку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цілей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у тому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числі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спрямовувати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утримання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матеріально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технічне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150C0F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угоди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установами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незалежно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форм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підпорядкування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207C98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6.1.4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співробітництво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іноземними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1FCC0FC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eastAsiaTheme="minorEastAsia" w:hAnsi="Century"/>
          <w:color w:val="FF0000"/>
          <w:kern w:val="1"/>
          <w:szCs w:val="22"/>
          <w:lang w:eastAsia="zh-CN" w:bidi="hi-IN"/>
        </w:rPr>
        <w:t xml:space="preserve">     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напрямки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грошових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враховуючи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норми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Статуту. </w:t>
      </w:r>
    </w:p>
    <w:p w14:paraId="7286DC5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будівництво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реконструкцію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капітальний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поточний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ремонт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фондів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ABF467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Залучати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установи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статутних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порядку. </w:t>
      </w:r>
    </w:p>
    <w:p w14:paraId="56FF869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Співпрацювати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закладами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науковими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установами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особами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підприємцями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3DA571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консультативну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належать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компетенції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спеціалістам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запитом. </w:t>
      </w:r>
    </w:p>
    <w:p w14:paraId="0A4D101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реорганізовувати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ліквідовувати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структурні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підрозділи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96DFA7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6.1.11.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права,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суперечать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1B2DCFF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зобов’язане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</w:p>
    <w:p w14:paraId="478F12F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високопродуктивної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додержання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правил та норм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техніки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безпеки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страхування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6D6587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облік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статистичну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звітність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80D319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Керуватись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Конституцією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законами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актами Президента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Кабінету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Міністрів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, нормативно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правовими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актами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Міністерства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нормативно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правовими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актами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Статутом. </w:t>
      </w:r>
    </w:p>
    <w:p w14:paraId="2D35201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своєчасну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сплату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податкових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платежів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врахуванням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статутної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A1CD3E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Розробляти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реалізовувати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кадрову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політику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контролювати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підвищення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кваліфікації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EFAB5B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6.2.7.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Акумулювати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надходження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витрачати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метою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31AE58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</w:p>
    <w:p w14:paraId="59E566F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FF0000"/>
          <w:kern w:val="1"/>
          <w:szCs w:val="22"/>
          <w:lang w:val="ru-RU" w:eastAsia="zh-CN" w:bidi="hi-IN"/>
        </w:rPr>
        <w:t xml:space="preserve">            </w:t>
      </w: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7.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громадський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</w:p>
    <w:p w14:paraId="50AB8DD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контроль за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діяльністю</w:t>
      </w:r>
      <w:proofErr w:type="spellEnd"/>
    </w:p>
    <w:p w14:paraId="606D137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5391D74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bookmarkStart w:id="1" w:name="__DdeLink__7131_1424708927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7.1.</w:t>
      </w:r>
      <w:bookmarkEnd w:id="1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відповідно до цього статуту на основі поєднання прав з Засновника (Власника) щодо господарського використання свого майна і участі в управлінні трудового колективу.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Поточне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керівництво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оперативне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– Директор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,</w:t>
      </w:r>
      <w:r w:rsidRPr="001D4CE2">
        <w:rPr>
          <w:rFonts w:ascii="Century" w:hAnsi="Century"/>
          <w:color w:val="FF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 посаду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звільняє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посади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міський голова своїм розпорядженням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1CFCF7C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2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Строк найму, права,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відповідальність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Директора,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матеріального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найму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контрактом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FBAEC4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</w:p>
    <w:p w14:paraId="31074F3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7.3.1.</w:t>
      </w:r>
      <w:r w:rsidRPr="001D4CE2">
        <w:rPr>
          <w:rFonts w:ascii="Century" w:hAnsi="Century"/>
          <w:color w:val="FF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головні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напрямки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076A84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7.3.2.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зміни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нього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6322879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7.3.3.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план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.</w:t>
      </w:r>
    </w:p>
    <w:p w14:paraId="3EB8262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7.3.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4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Здійснює контроль за роботою підприємства.</w:t>
      </w:r>
    </w:p>
    <w:p w14:paraId="399CDFB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7.3.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5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Здійснює контроль за ефективністю використання майна, що є власністю територіальної громади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м.Городка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 Львівської області та закріплене за Підприємством на праві оперативного управління.</w:t>
      </w:r>
    </w:p>
    <w:p w14:paraId="523E594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7.3.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6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Контролює виконання контракту керівником.</w:t>
      </w:r>
    </w:p>
    <w:p w14:paraId="3CF2BED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7.3.7.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Приймає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реорганізацію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передавальний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акт,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розподільчий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баланс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78F5E9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7.3.8.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договори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обслуговування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рахунок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бюджетів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622BF08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</w:p>
    <w:p w14:paraId="4AB7AE6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довіреності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імені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представляє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інтереси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органах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влади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органах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місцевого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самоврядування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органах,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відносинах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підписує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імені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документи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довіреності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делегує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підпису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документів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посадовим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відкриває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органах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казначейської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служби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установах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банків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поточні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рахунки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3A9ADB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вирішує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винятком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тих,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віднесені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компетенції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F78E26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Організовує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роботу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щодо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населенню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нормативно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B91418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формування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плану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розвитку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результати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показників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ефективності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послуг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комунального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 і доходу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договорів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E8B00C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Користується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розпорядження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коштами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ефективне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використання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збереження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закріпленого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оперативного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майна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5A8AE9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7.4.6.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межах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компетенції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накази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вказівки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всіх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підрозділів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33E1BA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7.4.7.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контроль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веденням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зберіганням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документації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0B80F9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7.4.8. У строки і в порядку,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повідомляє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будь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зміни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внесення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Єдиного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державного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реєстру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осіб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фізичних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осіб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підприємців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громадських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формувань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обов’язковим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039FA1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квартальну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звітність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чинного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B3C9BC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eastAsiaTheme="minorEastAsia" w:hAnsi="Century"/>
          <w:color w:val="FF0000"/>
          <w:kern w:val="1"/>
          <w:szCs w:val="22"/>
          <w:lang w:val="ru-RU" w:eastAsia="zh-CN" w:bidi="hi-IN"/>
        </w:rPr>
        <w:tab/>
      </w:r>
      <w:r w:rsidRPr="001D4CE2">
        <w:rPr>
          <w:rFonts w:ascii="Century" w:hAnsi="Century"/>
          <w:color w:val="FF0000"/>
          <w:kern w:val="1"/>
          <w:szCs w:val="22"/>
          <w:lang w:val="ru-RU" w:eastAsia="zh-CN" w:bidi="hi-IN"/>
        </w:rPr>
        <w:t xml:space="preserve">  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Приймає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прийняття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 роботу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звільнення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роботи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сфері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відносин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договори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раціональний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добір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кадрів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дотримання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правил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внутрішнього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трудового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розпорядку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підвищення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фахового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кваліфікаційного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рівня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затвердженим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штатним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розписом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F30DD1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переговорів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договору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09E6CE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посади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звільняє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посади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заступників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головного бухгалтера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посади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звільняє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структурних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підрозділів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чинного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78C3F66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дотримання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санітарно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гігієнічних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протипожежних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норм і правил,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умов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0D111F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Вживає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заходів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щодо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своєчасної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обсязі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виплати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заробітної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плати,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податків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платежів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3FAAA89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Несе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відповідальність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збитки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завдані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вини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порядку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1117DD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положення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структурні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підрозділи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положення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порядки,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системний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характер,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зокрема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: </w:t>
      </w:r>
    </w:p>
    <w:p w14:paraId="67169A8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7.4.16.1.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Положення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преміювання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результатами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роботи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6932B73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7.4.16.2. Порядок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приймання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зберігання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відпуску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обліку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лікарських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засобів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виробів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59AC473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7.4.16.3. Порядок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складання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фінансового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плану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1361C8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7.4.17.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погодженням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або його дозволом,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здавати майно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оренд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 xml:space="preserve">у та реалізовувати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майн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53F1E67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7.4.18.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Вирішує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віднесені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компетенції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Статутом, контрактом. </w:t>
      </w:r>
    </w:p>
    <w:p w14:paraId="022391F8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7.5.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відсутності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неможливості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виконувати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причин,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 заступник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функціональними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обов’язками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29A37AB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7FA6702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8.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Організаційна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структура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</w:p>
    <w:p w14:paraId="2F2889B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41370DC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8.1. Структуру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порядок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внутрішньої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сфери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структурних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підрозділів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7817D01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8.2.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Функціональні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посадові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інструкції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затверджує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4973C4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8.3.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Штатну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чисельність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, кількість структурних підрозділів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власний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розсуд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врахуванням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умов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належної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доступності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78EF561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FF0000"/>
          <w:kern w:val="1"/>
          <w:szCs w:val="22"/>
          <w:lang w:val="ru-RU" w:eastAsia="zh-CN" w:bidi="hi-IN"/>
        </w:rPr>
      </w:pPr>
    </w:p>
    <w:p w14:paraId="10C781D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9.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Повноваження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трудового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колективу</w:t>
      </w:r>
      <w:proofErr w:type="spellEnd"/>
    </w:p>
    <w:p w14:paraId="50CCA66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561908C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брати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участь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через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загальні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збори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трудового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професійні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спілки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трудовому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уповноважені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представництво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вносити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пропозиції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щодо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поліпшення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роботи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соціально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культурного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побутового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обслуговування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9726CB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Представники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первинної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профспілкової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представляють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інтереси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 органах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5C1B20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зобов’язане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створювати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забезпечували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участь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2D86316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складається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усіх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працею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беруть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участь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основі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трудового договору (контракту, угоди)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форм,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регулюють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відносини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425DE59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9.5.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 складу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через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реалізує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на участь 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обиратися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Повноваження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73E685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Виробничі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відносини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трудового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адміністрацією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регулюються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договором. </w:t>
      </w:r>
    </w:p>
    <w:p w14:paraId="2036AEB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9.7.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укладання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імені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трудового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–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уповноваженому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ним органу. </w:t>
      </w:r>
    </w:p>
    <w:p w14:paraId="6CD8C69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звітують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загальних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зборах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менш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ніж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один раз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348811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щодо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поліпшення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умов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життя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обов’язкового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страхування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питання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соціального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розвитку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вирішуються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трудовим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договору. </w:t>
      </w:r>
    </w:p>
    <w:p w14:paraId="1F8CA27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Джерелом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оплату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кошти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отримані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результаті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некомерційної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джерел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заборонених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7141DD5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системи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оплати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норми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розцінки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тарифні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ставки,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схеми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посадових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окладів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запровадження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розміри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надбавок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,</w:t>
      </w:r>
      <w:r w:rsidRPr="001D4CE2"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  <w:t xml:space="preserve"> 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доплат,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премій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винагород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заохочувальних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компенсаційних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гарантійних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виплат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встановлюються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договорі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дотриманням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норм і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Генеральною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Галузевою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угодами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6D617B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9.12.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Мінімальна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заробітна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бути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нижчою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мінімального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розміру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заробітної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плати. </w:t>
      </w:r>
    </w:p>
    <w:p w14:paraId="5E58CD1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Умови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оплати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матеріального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забезпечення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контрактом,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діючими нормативно – правовими актами.</w:t>
      </w:r>
    </w:p>
    <w:p w14:paraId="0FC04CF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9.14. Оплата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першочерговому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інші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платежі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після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виконання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зобов’язань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щодо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оплати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en-US" w:eastAsia="zh-CN" w:bidi="hi-IN"/>
        </w:rPr>
        <w:t> 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  </w:t>
      </w:r>
    </w:p>
    <w:p w14:paraId="5F54506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9.15.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проводять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свою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колективного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договору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посадових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інструкцій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згідно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09D689E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10. Контроль та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перевірка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</w:p>
    <w:p w14:paraId="71C3502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6CE62747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10.1.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самостійно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йснює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оперативний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 результат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в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яльност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веде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обробку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персональних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вник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в, а також веде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, ф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нансову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кадрову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Порядок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обліку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ку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персональних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статистичної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, ф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нансової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кадрової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тност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547DC39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10.2.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несе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дпов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дальн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своєчасне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достов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рне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форм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тност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дпов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органам. </w:t>
      </w:r>
    </w:p>
    <w:p w14:paraId="77C5F20A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10.3. Контроль за ф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нансово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яльн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йснюють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дпов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 межах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повноважень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порядку. </w:t>
      </w:r>
    </w:p>
    <w:p w14:paraId="7FE35693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10.4.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йснювати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контроль ф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нансово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яльністі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. П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бухгалтерський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т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ншу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документац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ю, яка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стосується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ф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нансово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-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господарської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кадрової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яльност</w:t>
      </w:r>
      <w:r w:rsidRPr="001D4CE2">
        <w:rPr>
          <w:rFonts w:ascii="Century" w:hAnsi="Century"/>
          <w:color w:val="000000"/>
          <w:kern w:val="1"/>
          <w:szCs w:val="22"/>
          <w:lang w:val="en-US" w:eastAsia="zh-CN" w:bidi="hi-IN"/>
        </w:rPr>
        <w:t>i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F7D49C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10.5. Контроль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хворим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через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експертизу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наданої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допомоги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міжнародним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принципам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доказової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медицини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галузевих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стандартів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сфері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охорони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здоров’я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48515D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b/>
          <w:color w:val="000000"/>
          <w:kern w:val="1"/>
          <w:szCs w:val="22"/>
          <w:lang w:val="ru-RU" w:eastAsia="zh-CN" w:bidi="hi-IN"/>
        </w:rPr>
      </w:pPr>
    </w:p>
    <w:p w14:paraId="50A2AC5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11.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Припинення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</w:p>
    <w:p w14:paraId="0BB9A4E0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6BF6EC1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Припинення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способом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реорганізації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злиття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приєднання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поділу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перетворення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–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випадках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–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суду. </w:t>
      </w:r>
    </w:p>
    <w:p w14:paraId="7ACCB3A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11.2.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разі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припинення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злиття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поділу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приєднання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перетворення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активи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одній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кільком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неприбутковим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організаціям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виду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зараховуються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 доходу</w:t>
      </w:r>
      <w:proofErr w:type="gram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бюджету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Городка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Львівської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області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A14100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11.3.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здійснюється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ліквідаційною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яка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утворюється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або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суду. </w:t>
      </w:r>
    </w:p>
    <w:p w14:paraId="0EB72BE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11.4. Порядок і строки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проведення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також строк для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пред’явлення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кредиторами,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може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бути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меншим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ніж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два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місяці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дня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опублікування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органом,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прийняв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241C8E4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11.5.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розміщує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друкованих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засобах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масової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інформації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повідомлення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припинення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особи та про порядок і строк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заявлення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кредиторами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наявних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відомих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)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кредиторів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повідомляє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особисто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письмовій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формі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строки. </w:t>
      </w:r>
    </w:p>
    <w:p w14:paraId="768AB3D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11.6.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Одночасно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вживає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усіх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необхідних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заходів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стягнення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дебіторської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заборгованості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22364C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11.7. З моменту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неї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переходять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повноваження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управління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складає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баланс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подає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органу,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який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призначив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Достовірність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lastRenderedPageBreak/>
        <w:t>повнота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балансу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повинні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бути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перевірені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порядку. </w:t>
      </w:r>
    </w:p>
    <w:p w14:paraId="62DEF0C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11.8.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Ліквідаційна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комісія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виступає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суді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імені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1DC8CAA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11.9.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Черговість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порядок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задоволення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вимог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кредиторів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визначаються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3B125A61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11.10.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Працівникам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які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звільняються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зв’язку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реорганізацією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чи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ліквідацією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гарантується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дотримання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їх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прав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інтересів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відповідно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працю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4A22178D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11.11.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Підприємство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є таким,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припинило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свою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діяльність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із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дати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внесення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Єдиного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державного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реєстру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запису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про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реєстрацію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припинення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юридичної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особи. </w:t>
      </w:r>
    </w:p>
    <w:p w14:paraId="18EE4DAC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11.12. Все,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що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не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передбачено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цим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Статутом,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регулюється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</w:p>
    <w:p w14:paraId="092683F9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11.13. </w:t>
      </w:r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У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разі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зміни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Підприємства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, а також у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разі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його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реорганізації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(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злиття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приєднання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поділу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виділення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,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перетворення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)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дія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трудового контракту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керівника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333333"/>
          <w:kern w:val="1"/>
          <w:szCs w:val="22"/>
          <w:highlight w:val="white"/>
          <w:lang w:val="ru-RU" w:eastAsia="zh-CN" w:bidi="hi-IN"/>
        </w:rPr>
        <w:t>продовжується</w:t>
      </w:r>
      <w:proofErr w:type="spellEnd"/>
      <w:r w:rsidRPr="001D4CE2">
        <w:rPr>
          <w:rFonts w:ascii="Century" w:hAnsi="Century"/>
          <w:color w:val="333333"/>
          <w:kern w:val="1"/>
          <w:szCs w:val="22"/>
          <w:highlight w:val="white"/>
          <w:lang w:eastAsia="zh-CN" w:bidi="hi-IN"/>
        </w:rPr>
        <w:t xml:space="preserve"> до укладення нового</w:t>
      </w:r>
      <w:r w:rsidRPr="001D4CE2">
        <w:rPr>
          <w:rFonts w:ascii="Century" w:eastAsiaTheme="minorEastAsia" w:hAnsi="Century"/>
          <w:color w:val="333333"/>
          <w:kern w:val="1"/>
          <w:szCs w:val="22"/>
          <w:highlight w:val="white"/>
          <w:lang w:val="ru-RU" w:eastAsia="zh-CN" w:bidi="hi-IN"/>
        </w:rPr>
        <w:t>.</w:t>
      </w:r>
    </w:p>
    <w:p w14:paraId="25A19BA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</w:pPr>
    </w:p>
    <w:p w14:paraId="43DE5334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12. Порядок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внесення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змін</w:t>
      </w:r>
      <w:proofErr w:type="spell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gram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до статуту</w:t>
      </w:r>
      <w:proofErr w:type="gramEnd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b/>
          <w:color w:val="000000"/>
          <w:kern w:val="1"/>
          <w:szCs w:val="22"/>
          <w:lang w:val="ru-RU" w:eastAsia="zh-CN" w:bidi="hi-IN"/>
        </w:rPr>
        <w:t>підприємства</w:t>
      </w:r>
      <w:proofErr w:type="spellEnd"/>
    </w:p>
    <w:p w14:paraId="432AC86F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</w:p>
    <w:p w14:paraId="5B581C4B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color w:val="000000"/>
          <w:kern w:val="1"/>
          <w:szCs w:val="22"/>
          <w:lang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12.1. 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Пропозиції про внесення змін до Статуту Підприємства можуть надходити від Засновника, виконавчого органу Засновника, трудового колективу та керівника Підприємства.</w:t>
      </w:r>
    </w:p>
    <w:p w14:paraId="5E425E82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12.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2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Зміни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доповнення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вносяться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за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рішенням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Засновника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, шляхом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викладення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новій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редакції</w:t>
      </w:r>
      <w:proofErr w:type="spellEnd"/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33308555" w14:textId="77777777" w:rsidR="001D4CE2" w:rsidRPr="001D4CE2" w:rsidRDefault="001D4CE2" w:rsidP="001D4CE2">
      <w:pPr>
        <w:widowControl w:val="0"/>
        <w:autoSpaceDE w:val="0"/>
        <w:autoSpaceDN w:val="0"/>
        <w:adjustRightInd w:val="0"/>
        <w:ind w:right="-1"/>
        <w:jc w:val="both"/>
        <w:rPr>
          <w:rFonts w:ascii="Century" w:eastAsiaTheme="minorEastAsia" w:hAnsi="Century"/>
          <w:kern w:val="1"/>
          <w:sz w:val="22"/>
          <w:szCs w:val="22"/>
          <w:lang w:val="ru-RU" w:eastAsia="zh-CN" w:bidi="hi-IN"/>
        </w:rPr>
      </w:pP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12.</w:t>
      </w:r>
      <w:r w:rsidRPr="001D4CE2">
        <w:rPr>
          <w:rFonts w:ascii="Century" w:hAnsi="Century"/>
          <w:color w:val="000000"/>
          <w:kern w:val="1"/>
          <w:szCs w:val="22"/>
          <w:lang w:eastAsia="zh-CN" w:bidi="hi-IN"/>
        </w:rPr>
        <w:t>3</w:t>
      </w:r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.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Зміни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та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доповнення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до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цього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Статуту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підлягають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державній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реєстрації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у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встановленому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законодавством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</w:t>
      </w:r>
      <w:proofErr w:type="spellStart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>України</w:t>
      </w:r>
      <w:proofErr w:type="spellEnd"/>
      <w:r w:rsidRPr="001D4CE2">
        <w:rPr>
          <w:rFonts w:ascii="Century" w:hAnsi="Century"/>
          <w:color w:val="000000"/>
          <w:kern w:val="1"/>
          <w:szCs w:val="22"/>
          <w:lang w:val="ru-RU" w:eastAsia="zh-CN" w:bidi="hi-IN"/>
        </w:rPr>
        <w:t xml:space="preserve"> порядку</w:t>
      </w:r>
      <w:r w:rsidRPr="001D4CE2">
        <w:rPr>
          <w:rFonts w:ascii="Century" w:eastAsiaTheme="minorEastAsia" w:hAnsi="Century"/>
          <w:color w:val="000000"/>
          <w:kern w:val="1"/>
          <w:szCs w:val="22"/>
          <w:lang w:val="ru-RU" w:eastAsia="zh-CN" w:bidi="hi-IN"/>
        </w:rPr>
        <w:t>.</w:t>
      </w:r>
    </w:p>
    <w:p w14:paraId="0AC7B58A" w14:textId="77777777" w:rsidR="00302308" w:rsidRDefault="00302308" w:rsidP="001D4CE2">
      <w:pPr>
        <w:shd w:val="clear" w:color="auto" w:fill="FFFFFF"/>
        <w:suppressAutoHyphens w:val="0"/>
        <w:ind w:right="14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179A5818" w14:textId="77777777" w:rsidR="00BF0D9C" w:rsidRDefault="00BF0D9C" w:rsidP="001D4CE2">
      <w:pPr>
        <w:shd w:val="clear" w:color="auto" w:fill="FFFFFF"/>
        <w:suppressAutoHyphens w:val="0"/>
        <w:ind w:right="14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7D413169" w14:textId="77777777" w:rsidR="00BF0D9C" w:rsidRDefault="00BF0D9C" w:rsidP="001D4CE2">
      <w:pPr>
        <w:shd w:val="clear" w:color="auto" w:fill="FFFFFF"/>
        <w:suppressAutoHyphens w:val="0"/>
        <w:ind w:right="14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4258BB49" w14:textId="42B1C264" w:rsidR="00BF0D9C" w:rsidRPr="00BF0D9C" w:rsidRDefault="00BF0D9C" w:rsidP="001D4CE2">
      <w:pPr>
        <w:shd w:val="clear" w:color="auto" w:fill="FFFFFF"/>
        <w:suppressAutoHyphens w:val="0"/>
        <w:ind w:right="14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BF0D9C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BF0D9C">
        <w:rPr>
          <w:rFonts w:ascii="Century" w:hAnsi="Century"/>
          <w:b/>
          <w:bCs/>
          <w:sz w:val="28"/>
          <w:szCs w:val="28"/>
          <w:lang w:eastAsia="uk-UA"/>
        </w:rPr>
        <w:tab/>
        <w:t>Микола ЛУПІЙ</w:t>
      </w:r>
    </w:p>
    <w:sectPr w:rsidR="00BF0D9C" w:rsidRPr="00BF0D9C" w:rsidSect="001D4CE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FDE87" w14:textId="77777777" w:rsidR="00625271" w:rsidRDefault="00625271" w:rsidP="00B45203">
      <w:r>
        <w:separator/>
      </w:r>
    </w:p>
  </w:endnote>
  <w:endnote w:type="continuationSeparator" w:id="0">
    <w:p w14:paraId="3E11BD01" w14:textId="77777777" w:rsidR="00625271" w:rsidRDefault="0062527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A56CA" w14:textId="77777777" w:rsidR="00625271" w:rsidRDefault="00625271" w:rsidP="00B45203">
      <w:r>
        <w:separator/>
      </w:r>
    </w:p>
  </w:footnote>
  <w:footnote w:type="continuationSeparator" w:id="0">
    <w:p w14:paraId="53211CFD" w14:textId="77777777" w:rsidR="00625271" w:rsidRDefault="00625271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736040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75EE2C77" w14:textId="4CD6D950" w:rsidR="001D4CE2" w:rsidRPr="001D4CE2" w:rsidRDefault="001D4CE2">
        <w:pPr>
          <w:pStyle w:val="a5"/>
          <w:jc w:val="center"/>
          <w:rPr>
            <w:rFonts w:ascii="Century" w:hAnsi="Century"/>
          </w:rPr>
        </w:pPr>
        <w:r w:rsidRPr="001D4CE2">
          <w:rPr>
            <w:rFonts w:ascii="Century" w:hAnsi="Century"/>
          </w:rPr>
          <w:fldChar w:fldCharType="begin"/>
        </w:r>
        <w:r w:rsidRPr="001D4CE2">
          <w:rPr>
            <w:rFonts w:ascii="Century" w:hAnsi="Century"/>
          </w:rPr>
          <w:instrText>PAGE   \* MERGEFORMAT</w:instrText>
        </w:r>
        <w:r w:rsidRPr="001D4CE2">
          <w:rPr>
            <w:rFonts w:ascii="Century" w:hAnsi="Century"/>
          </w:rPr>
          <w:fldChar w:fldCharType="separate"/>
        </w:r>
        <w:r w:rsidRPr="001D4CE2">
          <w:rPr>
            <w:rFonts w:ascii="Century" w:hAnsi="Century"/>
          </w:rPr>
          <w:t>2</w:t>
        </w:r>
        <w:r w:rsidRPr="001D4CE2">
          <w:rPr>
            <w:rFonts w:ascii="Century" w:hAnsi="Century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2F6E384A"/>
    <w:multiLevelType w:val="hybridMultilevel"/>
    <w:tmpl w:val="FFFFFFFF"/>
    <w:lvl w:ilvl="0" w:tplc="10A25D42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79975800">
    <w:abstractNumId w:val="7"/>
  </w:num>
  <w:num w:numId="2" w16cid:durableId="2052336447">
    <w:abstractNumId w:val="2"/>
  </w:num>
  <w:num w:numId="3" w16cid:durableId="1346592922">
    <w:abstractNumId w:val="13"/>
  </w:num>
  <w:num w:numId="4" w16cid:durableId="1431009376">
    <w:abstractNumId w:val="5"/>
  </w:num>
  <w:num w:numId="5" w16cid:durableId="244731758">
    <w:abstractNumId w:val="8"/>
  </w:num>
  <w:num w:numId="6" w16cid:durableId="14891632">
    <w:abstractNumId w:val="9"/>
  </w:num>
  <w:num w:numId="7" w16cid:durableId="1172991641">
    <w:abstractNumId w:val="11"/>
  </w:num>
  <w:num w:numId="8" w16cid:durableId="1175609435">
    <w:abstractNumId w:val="1"/>
  </w:num>
  <w:num w:numId="9" w16cid:durableId="1854760079">
    <w:abstractNumId w:val="3"/>
  </w:num>
  <w:num w:numId="10" w16cid:durableId="1480609830">
    <w:abstractNumId w:val="14"/>
  </w:num>
  <w:num w:numId="11" w16cid:durableId="369963756">
    <w:abstractNumId w:val="15"/>
  </w:num>
  <w:num w:numId="12" w16cid:durableId="321004044">
    <w:abstractNumId w:val="0"/>
  </w:num>
  <w:num w:numId="13" w16cid:durableId="1560091235">
    <w:abstractNumId w:val="12"/>
  </w:num>
  <w:num w:numId="14" w16cid:durableId="1107695374">
    <w:abstractNumId w:val="10"/>
  </w:num>
  <w:num w:numId="15" w16cid:durableId="255527547">
    <w:abstractNumId w:val="6"/>
  </w:num>
  <w:num w:numId="16" w16cid:durableId="1259606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313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CE2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103D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9782D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25271"/>
    <w:rsid w:val="00632165"/>
    <w:rsid w:val="00637CFF"/>
    <w:rsid w:val="00640ED9"/>
    <w:rsid w:val="0065677D"/>
    <w:rsid w:val="0066431E"/>
    <w:rsid w:val="0067131A"/>
    <w:rsid w:val="00676075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B3B08"/>
    <w:rsid w:val="007D3D83"/>
    <w:rsid w:val="007E3D8B"/>
    <w:rsid w:val="007E3F33"/>
    <w:rsid w:val="007E51DA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749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E760E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D7780"/>
    <w:rsid w:val="00BF0D9C"/>
    <w:rsid w:val="00BF33EE"/>
    <w:rsid w:val="00BF6CF9"/>
    <w:rsid w:val="00C03885"/>
    <w:rsid w:val="00C0742B"/>
    <w:rsid w:val="00C109B9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87BEC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A26A4152-DBE0-4878-AE54-AFDA0E98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1D4CE2"/>
  </w:style>
  <w:style w:type="paragraph" w:customStyle="1" w:styleId="c7e0e3eeebeee2eeea">
    <w:name w:val="Зc7аe0гe3оeeлebоeeвe2оeeкea"/>
    <w:basedOn w:val="a"/>
    <w:next w:val="cef1edeee2ede8e9f2e5eaf1f2"/>
    <w:uiPriority w:val="99"/>
    <w:rsid w:val="001D4CE2"/>
    <w:pPr>
      <w:keepNext/>
      <w:widowControl w:val="0"/>
      <w:suppressAutoHyphens w:val="0"/>
      <w:autoSpaceDE w:val="0"/>
      <w:autoSpaceDN w:val="0"/>
      <w:adjustRightInd w:val="0"/>
      <w:spacing w:before="240" w:after="120"/>
    </w:pPr>
    <w:rPr>
      <w:rFonts w:ascii="Liberation Sans" w:hAnsi="Liberation Serif" w:cs="Liberation Sans"/>
      <w:sz w:val="28"/>
      <w:szCs w:val="28"/>
      <w:lang w:val="ru-RU" w:eastAsia="ru-RU"/>
    </w:rPr>
  </w:style>
  <w:style w:type="paragraph" w:customStyle="1" w:styleId="cef1edeee2ede8e9f2e5eaf1f2">
    <w:name w:val="Оceсf1нedоeeвe2нedиe8йe9 тf2еe5кeaсf1тf2"/>
    <w:basedOn w:val="a"/>
    <w:uiPriority w:val="99"/>
    <w:rsid w:val="001D4CE2"/>
    <w:pPr>
      <w:widowControl w:val="0"/>
      <w:suppressAutoHyphens w:val="0"/>
      <w:autoSpaceDE w:val="0"/>
      <w:autoSpaceDN w:val="0"/>
      <w:adjustRightInd w:val="0"/>
      <w:spacing w:after="140" w:line="288" w:lineRule="auto"/>
    </w:pPr>
    <w:rPr>
      <w:rFonts w:ascii="Liberation Serif" w:eastAsiaTheme="minorEastAsia" w:hAnsi="Liberation Serif"/>
      <w:lang w:val="ru-RU" w:eastAsia="ru-RU"/>
    </w:rPr>
  </w:style>
  <w:style w:type="paragraph" w:customStyle="1" w:styleId="d1efe8f1eeea">
    <w:name w:val="Сd1пefиe8сf1оeeкea"/>
    <w:basedOn w:val="cef1edeee2ede8e9f2e5eaf1f2"/>
    <w:uiPriority w:val="99"/>
    <w:rsid w:val="001D4CE2"/>
  </w:style>
  <w:style w:type="paragraph" w:customStyle="1" w:styleId="d0eee7e4b3eb">
    <w:name w:val="Рd0оeeзe7дe4іb3лeb"/>
    <w:basedOn w:val="a"/>
    <w:uiPriority w:val="99"/>
    <w:rsid w:val="001D4CE2"/>
    <w:pPr>
      <w:widowControl w:val="0"/>
      <w:suppressLineNumbers/>
      <w:suppressAutoHyphens w:val="0"/>
      <w:autoSpaceDE w:val="0"/>
      <w:autoSpaceDN w:val="0"/>
      <w:adjustRightInd w:val="0"/>
      <w:spacing w:before="120" w:after="120"/>
    </w:pPr>
    <w:rPr>
      <w:rFonts w:ascii="Liberation Serif" w:eastAsiaTheme="minorEastAsia" w:hAnsi="Liberation Serif"/>
      <w:i/>
      <w:iCs/>
      <w:lang w:val="ru-RU" w:eastAsia="ru-RU"/>
    </w:rPr>
  </w:style>
  <w:style w:type="paragraph" w:customStyle="1" w:styleId="cfeeeae0e6f7e8ea">
    <w:name w:val="Пcfоeeкeaаe0жe6чf7иe8кea"/>
    <w:basedOn w:val="a"/>
    <w:uiPriority w:val="99"/>
    <w:rsid w:val="001D4CE2"/>
    <w:pPr>
      <w:widowControl w:val="0"/>
      <w:suppressLineNumbers/>
      <w:suppressAutoHyphens w:val="0"/>
      <w:autoSpaceDE w:val="0"/>
      <w:autoSpaceDN w:val="0"/>
      <w:adjustRightInd w:val="0"/>
    </w:pPr>
    <w:rPr>
      <w:rFonts w:ascii="Liberation Serif" w:eastAsiaTheme="minorEastAsia" w:hAnsi="Liberation Serif"/>
      <w:lang w:val="ru-RU" w:eastAsia="ru-RU"/>
    </w:rPr>
  </w:style>
  <w:style w:type="numbering" w:customStyle="1" w:styleId="20">
    <w:name w:val="Немає списку2"/>
    <w:next w:val="a2"/>
    <w:uiPriority w:val="99"/>
    <w:semiHidden/>
    <w:unhideWhenUsed/>
    <w:rsid w:val="001D4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5C85A-4803-4134-A47F-948A4651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19496</Words>
  <Characters>11114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2025-04-16T11:53:00Z</cp:lastPrinted>
  <dcterms:created xsi:type="dcterms:W3CDTF">2025-05-01T08:14:00Z</dcterms:created>
  <dcterms:modified xsi:type="dcterms:W3CDTF">2025-05-01T08:16:00Z</dcterms:modified>
</cp:coreProperties>
</file>