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21C29" w14:textId="77777777" w:rsidR="00862811" w:rsidRPr="000458A7" w:rsidRDefault="00862811" w:rsidP="00862811">
      <w:pPr>
        <w:shd w:val="clear" w:color="auto" w:fill="FFFFFF"/>
        <w:spacing w:line="276" w:lineRule="auto"/>
        <w:jc w:val="center"/>
        <w:rPr>
          <w:rFonts w:ascii="Century" w:eastAsia="Calibri" w:hAnsi="Century"/>
          <w:sz w:val="24"/>
          <w:lang w:eastAsia="ru-RU"/>
        </w:rPr>
      </w:pPr>
      <w:bookmarkStart w:id="0" w:name="_Hlk69735875"/>
      <w:bookmarkStart w:id="1" w:name="_Hlk62647722"/>
      <w:bookmarkStart w:id="2" w:name="OLE_LINK2"/>
      <w:bookmarkStart w:id="3" w:name="OLE_LINK3"/>
      <w:bookmarkStart w:id="4" w:name="OLE_LINK1"/>
      <w:r w:rsidRPr="000458A7">
        <w:rPr>
          <w:rFonts w:ascii="Century" w:eastAsia="Calibri" w:hAnsi="Century"/>
          <w:noProof/>
          <w:sz w:val="24"/>
        </w:rPr>
        <w:drawing>
          <wp:inline distT="0" distB="0" distL="0" distR="0" wp14:anchorId="2638B466" wp14:editId="686D62B4">
            <wp:extent cx="56197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61975" cy="628650"/>
                    </a:xfrm>
                    <a:prstGeom prst="rect">
                      <a:avLst/>
                    </a:prstGeom>
                    <a:noFill/>
                    <a:ln w="9525">
                      <a:noFill/>
                      <a:miter lim="800000"/>
                      <a:headEnd/>
                      <a:tailEnd/>
                    </a:ln>
                  </pic:spPr>
                </pic:pic>
              </a:graphicData>
            </a:graphic>
          </wp:inline>
        </w:drawing>
      </w:r>
    </w:p>
    <w:p w14:paraId="57AF3D8A" w14:textId="77777777" w:rsidR="00862811" w:rsidRPr="000458A7" w:rsidRDefault="00862811" w:rsidP="00862811">
      <w:pPr>
        <w:shd w:val="clear" w:color="auto" w:fill="FFFFFF"/>
        <w:spacing w:line="240" w:lineRule="auto"/>
        <w:jc w:val="center"/>
        <w:rPr>
          <w:rFonts w:ascii="Century" w:eastAsia="Calibri" w:hAnsi="Century"/>
          <w:sz w:val="32"/>
          <w:szCs w:val="32"/>
          <w:lang w:eastAsia="ru-RU"/>
        </w:rPr>
      </w:pPr>
      <w:r w:rsidRPr="000458A7">
        <w:rPr>
          <w:rFonts w:ascii="Century" w:eastAsia="Calibri" w:hAnsi="Century"/>
          <w:sz w:val="32"/>
          <w:szCs w:val="32"/>
          <w:lang w:eastAsia="ru-RU"/>
        </w:rPr>
        <w:t>УКРАЇНА</w:t>
      </w:r>
    </w:p>
    <w:p w14:paraId="78D8BFA8" w14:textId="77777777" w:rsidR="00862811" w:rsidRPr="000458A7" w:rsidRDefault="00862811" w:rsidP="00862811">
      <w:pPr>
        <w:shd w:val="clear" w:color="auto" w:fill="FFFFFF"/>
        <w:spacing w:line="240" w:lineRule="auto"/>
        <w:jc w:val="center"/>
        <w:rPr>
          <w:rFonts w:ascii="Century" w:eastAsia="Calibri" w:hAnsi="Century"/>
          <w:b/>
          <w:sz w:val="32"/>
          <w:lang w:eastAsia="ru-RU"/>
        </w:rPr>
      </w:pPr>
      <w:r w:rsidRPr="000458A7">
        <w:rPr>
          <w:rFonts w:ascii="Century" w:eastAsia="Calibri" w:hAnsi="Century"/>
          <w:b/>
          <w:sz w:val="32"/>
          <w:lang w:eastAsia="ru-RU"/>
        </w:rPr>
        <w:t>ГОРОДОЦЬКА МІСЬКА РАДА</w:t>
      </w:r>
    </w:p>
    <w:p w14:paraId="2E3D78C8" w14:textId="77777777" w:rsidR="00862811" w:rsidRPr="000458A7" w:rsidRDefault="00862811" w:rsidP="00862811">
      <w:pPr>
        <w:shd w:val="clear" w:color="auto" w:fill="FFFFFF"/>
        <w:spacing w:line="240" w:lineRule="auto"/>
        <w:jc w:val="center"/>
        <w:rPr>
          <w:rFonts w:ascii="Century" w:eastAsia="Calibri" w:hAnsi="Century"/>
          <w:sz w:val="32"/>
          <w:lang w:eastAsia="ru-RU"/>
        </w:rPr>
      </w:pPr>
      <w:r w:rsidRPr="000458A7">
        <w:rPr>
          <w:rFonts w:ascii="Century" w:eastAsia="Calibri" w:hAnsi="Century"/>
          <w:sz w:val="32"/>
          <w:lang w:eastAsia="ru-RU"/>
        </w:rPr>
        <w:t>ЛЬВІВСЬКОЇ ОБЛАСТІ</w:t>
      </w:r>
    </w:p>
    <w:p w14:paraId="074F681A" w14:textId="1A59D0FD" w:rsidR="00862811" w:rsidRPr="000458A7" w:rsidRDefault="000458A7" w:rsidP="00862811">
      <w:pPr>
        <w:shd w:val="clear" w:color="auto" w:fill="FFFFFF"/>
        <w:spacing w:line="240" w:lineRule="auto"/>
        <w:jc w:val="center"/>
        <w:rPr>
          <w:rFonts w:ascii="Century" w:eastAsia="Calibri" w:hAnsi="Century"/>
          <w:bCs/>
          <w:szCs w:val="28"/>
          <w:lang w:eastAsia="ru-RU"/>
        </w:rPr>
      </w:pPr>
      <w:r w:rsidRPr="000458A7">
        <w:rPr>
          <w:rFonts w:ascii="Century" w:eastAsia="Calibri" w:hAnsi="Century"/>
          <w:b/>
          <w:sz w:val="32"/>
          <w:szCs w:val="32"/>
          <w:lang w:eastAsia="ru-RU"/>
        </w:rPr>
        <w:t>62</w:t>
      </w:r>
      <w:r w:rsidR="00862811" w:rsidRPr="000458A7">
        <w:rPr>
          <w:rFonts w:ascii="Century" w:eastAsia="Calibri" w:hAnsi="Century"/>
          <w:b/>
          <w:sz w:val="32"/>
          <w:szCs w:val="32"/>
          <w:lang w:eastAsia="ru-RU"/>
        </w:rPr>
        <w:t xml:space="preserve"> </w:t>
      </w:r>
      <w:r w:rsidR="00862811" w:rsidRPr="000458A7">
        <w:rPr>
          <w:rFonts w:ascii="Century" w:eastAsia="Calibri" w:hAnsi="Century"/>
          <w:bCs/>
          <w:caps/>
          <w:szCs w:val="28"/>
          <w:lang w:eastAsia="ru-RU"/>
        </w:rPr>
        <w:t>сесія восьмого скликання</w:t>
      </w:r>
    </w:p>
    <w:p w14:paraId="0C595FF3" w14:textId="28986D5B" w:rsidR="00862811" w:rsidRPr="000458A7" w:rsidRDefault="00862811" w:rsidP="00862811">
      <w:pPr>
        <w:spacing w:line="276" w:lineRule="auto"/>
        <w:jc w:val="center"/>
        <w:rPr>
          <w:rFonts w:ascii="Century" w:eastAsia="Calibri" w:hAnsi="Century"/>
          <w:b/>
          <w:sz w:val="32"/>
          <w:szCs w:val="32"/>
          <w:lang w:eastAsia="ru-RU"/>
        </w:rPr>
      </w:pPr>
      <w:r w:rsidRPr="000458A7">
        <w:rPr>
          <w:rFonts w:ascii="Century" w:eastAsia="Calibri" w:hAnsi="Century"/>
          <w:b/>
          <w:sz w:val="32"/>
          <w:szCs w:val="32"/>
          <w:lang w:eastAsia="ru-RU"/>
        </w:rPr>
        <w:t xml:space="preserve">РІШЕННЯ № </w:t>
      </w:r>
      <w:r w:rsidR="000458A7" w:rsidRPr="000458A7">
        <w:rPr>
          <w:rFonts w:ascii="Century" w:eastAsia="Calibri" w:hAnsi="Century"/>
          <w:b/>
          <w:sz w:val="32"/>
          <w:szCs w:val="32"/>
          <w:lang w:eastAsia="ru-RU"/>
        </w:rPr>
        <w:t>25/62-8491</w:t>
      </w:r>
    </w:p>
    <w:p w14:paraId="5BC2B116" w14:textId="77777777" w:rsidR="00862811" w:rsidRPr="000458A7" w:rsidRDefault="00D50C9A" w:rsidP="00862811">
      <w:pPr>
        <w:spacing w:line="240" w:lineRule="auto"/>
        <w:jc w:val="both"/>
        <w:rPr>
          <w:rFonts w:ascii="Century" w:eastAsia="Calibri" w:hAnsi="Century"/>
          <w:szCs w:val="28"/>
          <w:lang w:eastAsia="ru-RU"/>
        </w:rPr>
      </w:pPr>
      <w:bookmarkStart w:id="5" w:name="_Hlk69735883"/>
      <w:bookmarkEnd w:id="0"/>
      <w:r w:rsidRPr="000458A7">
        <w:rPr>
          <w:rFonts w:ascii="Century" w:eastAsia="Calibri" w:hAnsi="Century"/>
          <w:szCs w:val="28"/>
          <w:lang w:eastAsia="ru-RU"/>
        </w:rPr>
        <w:t>24</w:t>
      </w:r>
      <w:r w:rsidR="00862811" w:rsidRPr="000458A7">
        <w:rPr>
          <w:rFonts w:ascii="Century" w:eastAsia="Calibri" w:hAnsi="Century"/>
          <w:szCs w:val="28"/>
          <w:lang w:eastAsia="ru-RU"/>
        </w:rPr>
        <w:t xml:space="preserve"> </w:t>
      </w:r>
      <w:r w:rsidRPr="000458A7">
        <w:rPr>
          <w:rFonts w:ascii="Century" w:eastAsia="Calibri" w:hAnsi="Century"/>
          <w:szCs w:val="28"/>
          <w:lang w:eastAsia="ru-RU"/>
        </w:rPr>
        <w:t>квітня</w:t>
      </w:r>
      <w:r w:rsidR="00862811" w:rsidRPr="000458A7">
        <w:rPr>
          <w:rFonts w:ascii="Century" w:eastAsia="Calibri" w:hAnsi="Century"/>
          <w:szCs w:val="28"/>
          <w:lang w:eastAsia="ru-RU"/>
        </w:rPr>
        <w:t xml:space="preserve"> 202</w:t>
      </w:r>
      <w:r w:rsidRPr="000458A7">
        <w:rPr>
          <w:rFonts w:ascii="Century" w:eastAsia="Calibri" w:hAnsi="Century"/>
          <w:szCs w:val="28"/>
          <w:lang w:eastAsia="ru-RU"/>
        </w:rPr>
        <w:t>5</w:t>
      </w:r>
      <w:r w:rsidR="00862811" w:rsidRPr="000458A7">
        <w:rPr>
          <w:rFonts w:ascii="Century" w:eastAsia="Calibri" w:hAnsi="Century"/>
          <w:szCs w:val="28"/>
          <w:lang w:eastAsia="ru-RU"/>
        </w:rPr>
        <w:t xml:space="preserve"> року</w:t>
      </w:r>
      <w:r w:rsidR="00862811" w:rsidRPr="000458A7">
        <w:rPr>
          <w:rFonts w:ascii="Century" w:eastAsia="Calibri" w:hAnsi="Century"/>
          <w:szCs w:val="28"/>
          <w:lang w:eastAsia="ru-RU"/>
        </w:rPr>
        <w:tab/>
      </w:r>
      <w:r w:rsidR="00862811" w:rsidRPr="000458A7">
        <w:rPr>
          <w:rFonts w:ascii="Century" w:eastAsia="Calibri" w:hAnsi="Century"/>
          <w:szCs w:val="28"/>
          <w:lang w:eastAsia="ru-RU"/>
        </w:rPr>
        <w:tab/>
      </w:r>
      <w:r w:rsidR="00862811" w:rsidRPr="000458A7">
        <w:rPr>
          <w:rFonts w:ascii="Century" w:eastAsia="Calibri" w:hAnsi="Century"/>
          <w:szCs w:val="28"/>
          <w:lang w:eastAsia="ru-RU"/>
        </w:rPr>
        <w:tab/>
      </w:r>
      <w:r w:rsidR="00862811" w:rsidRPr="000458A7">
        <w:rPr>
          <w:rFonts w:ascii="Century" w:eastAsia="Calibri" w:hAnsi="Century"/>
          <w:szCs w:val="28"/>
          <w:lang w:eastAsia="ru-RU"/>
        </w:rPr>
        <w:tab/>
      </w:r>
      <w:r w:rsidR="00862811" w:rsidRPr="000458A7">
        <w:rPr>
          <w:rFonts w:ascii="Century" w:eastAsia="Calibri" w:hAnsi="Century"/>
          <w:szCs w:val="28"/>
          <w:lang w:eastAsia="ru-RU"/>
        </w:rPr>
        <w:tab/>
      </w:r>
      <w:r w:rsidR="00862811" w:rsidRPr="000458A7">
        <w:rPr>
          <w:rFonts w:ascii="Century" w:eastAsia="Calibri" w:hAnsi="Century"/>
          <w:szCs w:val="28"/>
          <w:lang w:eastAsia="ru-RU"/>
        </w:rPr>
        <w:tab/>
      </w:r>
      <w:r w:rsidR="00862811" w:rsidRPr="000458A7">
        <w:rPr>
          <w:rFonts w:ascii="Century" w:eastAsia="Calibri" w:hAnsi="Century"/>
          <w:szCs w:val="28"/>
          <w:lang w:eastAsia="ru-RU"/>
        </w:rPr>
        <w:tab/>
      </w:r>
      <w:r w:rsidR="00862811" w:rsidRPr="000458A7">
        <w:rPr>
          <w:rFonts w:ascii="Century" w:eastAsia="Calibri" w:hAnsi="Century"/>
          <w:szCs w:val="28"/>
          <w:lang w:eastAsia="ru-RU"/>
        </w:rPr>
        <w:tab/>
        <w:t xml:space="preserve">     м. Городок</w:t>
      </w:r>
    </w:p>
    <w:bookmarkEnd w:id="1"/>
    <w:bookmarkEnd w:id="5"/>
    <w:p w14:paraId="57108197" w14:textId="77777777" w:rsidR="00862811" w:rsidRPr="000458A7" w:rsidRDefault="00862811" w:rsidP="00862811">
      <w:pPr>
        <w:autoSpaceDE w:val="0"/>
        <w:autoSpaceDN w:val="0"/>
        <w:spacing w:line="240" w:lineRule="auto"/>
        <w:jc w:val="center"/>
        <w:rPr>
          <w:rFonts w:ascii="Century" w:hAnsi="Century"/>
          <w:szCs w:val="28"/>
        </w:rPr>
      </w:pPr>
    </w:p>
    <w:bookmarkEnd w:id="2"/>
    <w:bookmarkEnd w:id="3"/>
    <w:bookmarkEnd w:id="4"/>
    <w:p w14:paraId="2F486D93" w14:textId="77777777" w:rsidR="00862811" w:rsidRPr="000458A7" w:rsidRDefault="00862811" w:rsidP="00862811">
      <w:pPr>
        <w:pStyle w:val="a3"/>
        <w:spacing w:line="240" w:lineRule="auto"/>
        <w:ind w:right="5385"/>
        <w:jc w:val="left"/>
        <w:rPr>
          <w:rFonts w:ascii="Century" w:hAnsi="Century"/>
          <w:lang w:val="ru-RU"/>
        </w:rPr>
      </w:pPr>
      <w:r w:rsidRPr="000458A7">
        <w:rPr>
          <w:rFonts w:ascii="Century" w:hAnsi="Century"/>
        </w:rPr>
        <w:t>Про затвердження Програми «Громадського здоров</w:t>
      </w:r>
      <w:r w:rsidRPr="000458A7">
        <w:rPr>
          <w:rFonts w:ascii="Century" w:hAnsi="Century"/>
          <w:lang w:val="ru-RU"/>
        </w:rPr>
        <w:t>’</w:t>
      </w:r>
      <w:r w:rsidRPr="000458A7">
        <w:rPr>
          <w:rFonts w:ascii="Century" w:hAnsi="Century"/>
        </w:rPr>
        <w:t>я Городоцької ТГ, направлена на забезпечення функціонування Державної установи «Львівський обласний центр контролю та профілактики хвороб МОЗ Україн</w:t>
      </w:r>
      <w:r w:rsidRPr="000458A7">
        <w:rPr>
          <w:rFonts w:ascii="Century" w:hAnsi="Century"/>
          <w:lang w:val="ru-RU"/>
        </w:rPr>
        <w:t>и</w:t>
      </w:r>
      <w:r w:rsidR="00D50C9A" w:rsidRPr="000458A7">
        <w:rPr>
          <w:rFonts w:ascii="Century" w:hAnsi="Century"/>
        </w:rPr>
        <w:t xml:space="preserve"> на 2025</w:t>
      </w:r>
      <w:r w:rsidRPr="000458A7">
        <w:rPr>
          <w:rFonts w:ascii="Century" w:hAnsi="Century"/>
        </w:rPr>
        <w:t xml:space="preserve"> рік»</w:t>
      </w:r>
    </w:p>
    <w:p w14:paraId="08A07394" w14:textId="77777777" w:rsidR="00862811" w:rsidRPr="000458A7" w:rsidRDefault="00862811" w:rsidP="00862811">
      <w:pPr>
        <w:pStyle w:val="2"/>
        <w:ind w:firstLine="708"/>
        <w:rPr>
          <w:rFonts w:ascii="Century" w:hAnsi="Century"/>
          <w:b/>
        </w:rPr>
      </w:pPr>
    </w:p>
    <w:p w14:paraId="0E7E99B5" w14:textId="77777777" w:rsidR="00862811" w:rsidRPr="000458A7" w:rsidRDefault="00862811" w:rsidP="00862811">
      <w:pPr>
        <w:pStyle w:val="2"/>
        <w:rPr>
          <w:rFonts w:ascii="Century" w:hAnsi="Century"/>
          <w:szCs w:val="28"/>
        </w:rPr>
      </w:pPr>
      <w:r w:rsidRPr="000458A7">
        <w:rPr>
          <w:rFonts w:ascii="Century" w:hAnsi="Century"/>
        </w:rPr>
        <w:t xml:space="preserve">           </w:t>
      </w:r>
      <w:r w:rsidRPr="000458A7">
        <w:rPr>
          <w:rFonts w:ascii="Century" w:hAnsi="Century"/>
          <w:szCs w:val="28"/>
        </w:rPr>
        <w:t xml:space="preserve">З метою </w:t>
      </w:r>
      <w:r w:rsidRPr="000458A7">
        <w:rPr>
          <w:rFonts w:ascii="Century" w:hAnsi="Century"/>
          <w:color w:val="000000"/>
          <w:szCs w:val="28"/>
        </w:rPr>
        <w:t>забезпечення санітарно-епідеміологічного благополуччя мешканців громади</w:t>
      </w:r>
      <w:r w:rsidRPr="000458A7">
        <w:rPr>
          <w:rFonts w:ascii="Century" w:hAnsi="Century"/>
          <w:szCs w:val="28"/>
        </w:rPr>
        <w:t>, керуючись статтею 25 Закону України «Про місцеве самоврядування в Україні» міська рада</w:t>
      </w:r>
    </w:p>
    <w:p w14:paraId="29DB7D49" w14:textId="77777777" w:rsidR="00862811" w:rsidRPr="000458A7" w:rsidRDefault="00862811" w:rsidP="00862811">
      <w:pPr>
        <w:jc w:val="center"/>
        <w:rPr>
          <w:rFonts w:ascii="Century" w:hAnsi="Century"/>
          <w:b/>
        </w:rPr>
      </w:pPr>
    </w:p>
    <w:p w14:paraId="64622CC3" w14:textId="77777777" w:rsidR="00862811" w:rsidRPr="000458A7" w:rsidRDefault="00862811" w:rsidP="000458A7">
      <w:pPr>
        <w:rPr>
          <w:rFonts w:ascii="Century" w:hAnsi="Century"/>
          <w:b/>
        </w:rPr>
      </w:pPr>
      <w:r w:rsidRPr="000458A7">
        <w:rPr>
          <w:rFonts w:ascii="Century" w:hAnsi="Century"/>
          <w:b/>
        </w:rPr>
        <w:t>В И Р І Ш И Л А:</w:t>
      </w:r>
    </w:p>
    <w:p w14:paraId="255C2D7A" w14:textId="77777777" w:rsidR="00862811" w:rsidRPr="000458A7" w:rsidRDefault="00862811" w:rsidP="00862811">
      <w:pPr>
        <w:jc w:val="center"/>
        <w:rPr>
          <w:rFonts w:ascii="Century" w:hAnsi="Century"/>
          <w:b/>
        </w:rPr>
      </w:pPr>
    </w:p>
    <w:p w14:paraId="5C4965BA" w14:textId="77777777" w:rsidR="00862811" w:rsidRPr="000458A7" w:rsidRDefault="00862811" w:rsidP="00862811">
      <w:pPr>
        <w:pStyle w:val="3"/>
        <w:spacing w:line="240" w:lineRule="auto"/>
        <w:ind w:right="62"/>
        <w:jc w:val="both"/>
        <w:rPr>
          <w:rFonts w:ascii="Century" w:hAnsi="Century"/>
        </w:rPr>
      </w:pPr>
      <w:r w:rsidRPr="000458A7">
        <w:rPr>
          <w:rFonts w:ascii="Century" w:hAnsi="Century"/>
        </w:rPr>
        <w:t>1. Затвердити Програму «</w:t>
      </w:r>
      <w:r w:rsidRPr="000458A7">
        <w:rPr>
          <w:rFonts w:ascii="Century" w:hAnsi="Century"/>
          <w:color w:val="000000"/>
          <w:szCs w:val="28"/>
        </w:rPr>
        <w:t>Громадського здоров’я Городоцької ТГ, направлена на забезпечення функціонування Державної установи «Львівський обласний центр контролю та профілак</w:t>
      </w:r>
      <w:r w:rsidR="00D50C9A" w:rsidRPr="000458A7">
        <w:rPr>
          <w:rFonts w:ascii="Century" w:hAnsi="Century"/>
          <w:color w:val="000000"/>
          <w:szCs w:val="28"/>
        </w:rPr>
        <w:t>тики хвороб МОЗ України» на 2025</w:t>
      </w:r>
      <w:r w:rsidRPr="000458A7">
        <w:rPr>
          <w:rFonts w:ascii="Century" w:hAnsi="Century"/>
          <w:color w:val="000000"/>
          <w:szCs w:val="28"/>
        </w:rPr>
        <w:t xml:space="preserve"> рік. </w:t>
      </w:r>
      <w:r w:rsidRPr="000458A7">
        <w:rPr>
          <w:rFonts w:ascii="Century" w:hAnsi="Century"/>
        </w:rPr>
        <w:t>». (додається).</w:t>
      </w:r>
    </w:p>
    <w:p w14:paraId="06D08A8F" w14:textId="77777777" w:rsidR="00862811" w:rsidRPr="000458A7" w:rsidRDefault="00862811" w:rsidP="00862811">
      <w:pPr>
        <w:pStyle w:val="3"/>
        <w:spacing w:line="240" w:lineRule="auto"/>
        <w:ind w:right="62"/>
        <w:jc w:val="both"/>
        <w:rPr>
          <w:rFonts w:ascii="Century" w:hAnsi="Century"/>
        </w:rPr>
      </w:pPr>
    </w:p>
    <w:p w14:paraId="09603857" w14:textId="77777777" w:rsidR="00862811" w:rsidRPr="000458A7" w:rsidRDefault="00862811" w:rsidP="00862811">
      <w:pPr>
        <w:autoSpaceDE w:val="0"/>
        <w:autoSpaceDN w:val="0"/>
        <w:jc w:val="both"/>
        <w:rPr>
          <w:rFonts w:ascii="Century" w:hAnsi="Century"/>
          <w:szCs w:val="28"/>
        </w:rPr>
      </w:pPr>
      <w:r w:rsidRPr="000458A7">
        <w:rPr>
          <w:rFonts w:ascii="Century" w:hAnsi="Century"/>
        </w:rPr>
        <w:t xml:space="preserve">2. </w:t>
      </w:r>
      <w:r w:rsidRPr="000458A7">
        <w:rPr>
          <w:rFonts w:ascii="Century" w:hAnsi="Century"/>
          <w:szCs w:val="28"/>
        </w:rPr>
        <w:t>Контроль за виконанням рішення покласти на постійну комісію з питань</w:t>
      </w:r>
      <w:r w:rsidRPr="000458A7">
        <w:rPr>
          <w:rFonts w:ascii="Century" w:hAnsi="Century"/>
          <w:bCs/>
          <w:color w:val="000000"/>
          <w:szCs w:val="28"/>
        </w:rPr>
        <w:t xml:space="preserve"> </w:t>
      </w:r>
      <w:r w:rsidRPr="000458A7">
        <w:rPr>
          <w:rFonts w:ascii="Century" w:hAnsi="Century"/>
          <w:bCs/>
          <w:color w:val="000000"/>
          <w:szCs w:val="28"/>
          <w:shd w:val="clear" w:color="auto" w:fill="FFFFFF"/>
        </w:rPr>
        <w:t>бюджету, соціально-економічного розвитку, комунального майна і приватизації (гол.І.Мєскало)</w:t>
      </w:r>
      <w:r w:rsidRPr="000458A7">
        <w:rPr>
          <w:rFonts w:ascii="Century" w:hAnsi="Century"/>
          <w:szCs w:val="28"/>
        </w:rPr>
        <w:t>.</w:t>
      </w:r>
    </w:p>
    <w:p w14:paraId="4B5E1169" w14:textId="77777777" w:rsidR="00862811" w:rsidRPr="000458A7" w:rsidRDefault="00862811" w:rsidP="00862811">
      <w:pPr>
        <w:pStyle w:val="1"/>
        <w:shd w:val="clear" w:color="auto" w:fill="FFFFFF"/>
        <w:ind w:left="0"/>
        <w:jc w:val="both"/>
        <w:rPr>
          <w:rFonts w:ascii="Century" w:hAnsi="Century"/>
          <w:lang w:val="uk-UA"/>
        </w:rPr>
      </w:pPr>
    </w:p>
    <w:p w14:paraId="72CEBEA3" w14:textId="77777777" w:rsidR="00862811" w:rsidRPr="000458A7" w:rsidRDefault="00862811" w:rsidP="00862811">
      <w:pPr>
        <w:tabs>
          <w:tab w:val="left" w:pos="5400"/>
        </w:tabs>
        <w:rPr>
          <w:rFonts w:ascii="Century" w:hAnsi="Century"/>
          <w:szCs w:val="28"/>
        </w:rPr>
      </w:pPr>
    </w:p>
    <w:p w14:paraId="007456B9" w14:textId="77777777" w:rsidR="00862811" w:rsidRPr="000458A7" w:rsidRDefault="00862811" w:rsidP="00862811">
      <w:pPr>
        <w:tabs>
          <w:tab w:val="left" w:pos="5400"/>
        </w:tabs>
        <w:rPr>
          <w:rFonts w:ascii="Century" w:hAnsi="Century"/>
          <w:b/>
          <w:szCs w:val="28"/>
        </w:rPr>
      </w:pPr>
    </w:p>
    <w:p w14:paraId="0A2FB314" w14:textId="77777777" w:rsidR="00862811" w:rsidRPr="000458A7" w:rsidRDefault="00862811" w:rsidP="00862811">
      <w:pPr>
        <w:tabs>
          <w:tab w:val="left" w:pos="5400"/>
        </w:tabs>
        <w:rPr>
          <w:rFonts w:ascii="Century" w:hAnsi="Century"/>
          <w:b/>
          <w:szCs w:val="28"/>
        </w:rPr>
      </w:pPr>
      <w:r w:rsidRPr="000458A7">
        <w:rPr>
          <w:rFonts w:ascii="Century" w:hAnsi="Century"/>
          <w:b/>
          <w:szCs w:val="28"/>
        </w:rPr>
        <w:t>Міський голова                                                   Володимир РЕМЕНЯК</w:t>
      </w:r>
    </w:p>
    <w:p w14:paraId="62F5BEC3" w14:textId="77777777" w:rsidR="002E53DE" w:rsidRPr="000458A7" w:rsidRDefault="002E53DE">
      <w:pPr>
        <w:rPr>
          <w:rFonts w:ascii="Century" w:hAnsi="Century"/>
          <w:szCs w:val="28"/>
        </w:rPr>
      </w:pPr>
    </w:p>
    <w:p w14:paraId="60124550" w14:textId="77777777" w:rsidR="001F31D4" w:rsidRPr="000458A7" w:rsidRDefault="001F31D4" w:rsidP="00BA5FCD">
      <w:pPr>
        <w:pStyle w:val="10"/>
        <w:pBdr>
          <w:top w:val="nil"/>
          <w:left w:val="nil"/>
          <w:bottom w:val="nil"/>
          <w:right w:val="nil"/>
          <w:between w:val="nil"/>
        </w:pBdr>
        <w:rPr>
          <w:rFonts w:ascii="Century" w:hAnsi="Century"/>
          <w:color w:val="000000"/>
          <w:sz w:val="28"/>
          <w:szCs w:val="28"/>
        </w:rPr>
      </w:pPr>
    </w:p>
    <w:p w14:paraId="37FA0473" w14:textId="77777777" w:rsidR="001F31D4" w:rsidRPr="000458A7" w:rsidRDefault="001F31D4" w:rsidP="00BA5FCD">
      <w:pPr>
        <w:pStyle w:val="10"/>
        <w:pBdr>
          <w:top w:val="nil"/>
          <w:left w:val="nil"/>
          <w:bottom w:val="nil"/>
          <w:right w:val="nil"/>
          <w:between w:val="nil"/>
        </w:pBdr>
        <w:rPr>
          <w:rFonts w:ascii="Century" w:hAnsi="Century"/>
          <w:color w:val="000000"/>
          <w:sz w:val="28"/>
          <w:szCs w:val="28"/>
        </w:rPr>
      </w:pPr>
    </w:p>
    <w:p w14:paraId="66C1B305" w14:textId="65BC0CA4" w:rsidR="000458A7" w:rsidRDefault="000458A7" w:rsidP="009366CA">
      <w:pPr>
        <w:ind w:left="5103"/>
        <w:contextualSpacing/>
        <w:rPr>
          <w:rFonts w:ascii="Century" w:hAnsi="Century"/>
          <w:b/>
          <w:bCs/>
          <w:szCs w:val="28"/>
        </w:rPr>
      </w:pPr>
      <w:r>
        <w:rPr>
          <w:rFonts w:ascii="Century" w:hAnsi="Century"/>
          <w:b/>
          <w:bCs/>
          <w:szCs w:val="28"/>
        </w:rPr>
        <w:t>ЗАТВЕРДЖЕНО</w:t>
      </w:r>
    </w:p>
    <w:p w14:paraId="2FFDA574" w14:textId="77777777" w:rsidR="000458A7" w:rsidRPr="009366CA" w:rsidRDefault="000458A7" w:rsidP="009366CA">
      <w:pPr>
        <w:ind w:left="5103"/>
        <w:contextualSpacing/>
        <w:rPr>
          <w:rFonts w:ascii="Century" w:hAnsi="Century"/>
          <w:szCs w:val="28"/>
        </w:rPr>
      </w:pPr>
      <w:r w:rsidRPr="009366CA">
        <w:rPr>
          <w:rFonts w:ascii="Century" w:hAnsi="Century"/>
          <w:szCs w:val="28"/>
        </w:rPr>
        <w:t>Рішення сесії Городоцької міської ради Львівської області</w:t>
      </w:r>
    </w:p>
    <w:p w14:paraId="0930ABDD" w14:textId="77777777" w:rsidR="000458A7" w:rsidRPr="000458A7" w:rsidRDefault="000458A7" w:rsidP="000458A7">
      <w:pPr>
        <w:spacing w:line="240" w:lineRule="auto"/>
        <w:ind w:left="5103"/>
        <w:rPr>
          <w:rFonts w:ascii="Century" w:hAnsi="Century"/>
          <w:bCs/>
          <w:szCs w:val="28"/>
        </w:rPr>
      </w:pPr>
      <w:r w:rsidRPr="000458A7">
        <w:rPr>
          <w:rFonts w:ascii="Century" w:hAnsi="Century"/>
          <w:bCs/>
          <w:szCs w:val="28"/>
        </w:rPr>
        <w:t>24.04.2025</w:t>
      </w:r>
      <w:r w:rsidRPr="000458A7">
        <w:rPr>
          <w:rFonts w:ascii="Century" w:hAnsi="Century"/>
          <w:bCs/>
          <w:szCs w:val="28"/>
          <w:lang w:val="en-US"/>
        </w:rPr>
        <w:t xml:space="preserve"> </w:t>
      </w:r>
      <w:r w:rsidRPr="000458A7">
        <w:rPr>
          <w:rFonts w:ascii="Century" w:hAnsi="Century"/>
          <w:bCs/>
          <w:szCs w:val="28"/>
        </w:rPr>
        <w:t>№ 25/62-8491</w:t>
      </w:r>
    </w:p>
    <w:p w14:paraId="3C212843" w14:textId="7A8631C7" w:rsidR="00BA5FCD" w:rsidRPr="000458A7" w:rsidRDefault="00BA5FCD" w:rsidP="00BA5FCD">
      <w:pPr>
        <w:pStyle w:val="10"/>
        <w:pBdr>
          <w:top w:val="nil"/>
          <w:left w:val="nil"/>
          <w:bottom w:val="nil"/>
          <w:right w:val="nil"/>
          <w:between w:val="nil"/>
        </w:pBdr>
        <w:jc w:val="both"/>
        <w:rPr>
          <w:rFonts w:ascii="Century" w:hAnsi="Century"/>
          <w:color w:val="000000"/>
          <w:sz w:val="28"/>
          <w:szCs w:val="28"/>
        </w:rPr>
      </w:pPr>
    </w:p>
    <w:p w14:paraId="5F125D0B" w14:textId="77777777" w:rsidR="00BA5FCD" w:rsidRPr="000458A7" w:rsidRDefault="00BA5FCD" w:rsidP="00BA5FCD">
      <w:pPr>
        <w:pStyle w:val="10"/>
        <w:pBdr>
          <w:top w:val="nil"/>
          <w:left w:val="nil"/>
          <w:bottom w:val="nil"/>
          <w:right w:val="nil"/>
          <w:between w:val="nil"/>
        </w:pBdr>
        <w:jc w:val="center"/>
        <w:rPr>
          <w:rFonts w:ascii="Century" w:hAnsi="Century"/>
          <w:b/>
          <w:color w:val="000000"/>
          <w:sz w:val="28"/>
          <w:szCs w:val="28"/>
        </w:rPr>
      </w:pPr>
    </w:p>
    <w:p w14:paraId="5E884C81" w14:textId="77777777" w:rsidR="00BA5FCD" w:rsidRPr="000458A7" w:rsidRDefault="00BA5FCD" w:rsidP="00BA5FCD">
      <w:pPr>
        <w:pStyle w:val="10"/>
        <w:pBdr>
          <w:top w:val="nil"/>
          <w:left w:val="nil"/>
          <w:bottom w:val="nil"/>
          <w:right w:val="nil"/>
          <w:between w:val="nil"/>
        </w:pBdr>
        <w:jc w:val="center"/>
        <w:rPr>
          <w:rFonts w:ascii="Century" w:hAnsi="Century"/>
          <w:b/>
          <w:color w:val="000000"/>
          <w:sz w:val="28"/>
          <w:szCs w:val="28"/>
        </w:rPr>
      </w:pPr>
    </w:p>
    <w:p w14:paraId="2DEBE514" w14:textId="77777777" w:rsidR="00BA5FCD" w:rsidRPr="000458A7" w:rsidRDefault="00BA5FCD" w:rsidP="00BA5FCD">
      <w:pPr>
        <w:pStyle w:val="10"/>
        <w:pBdr>
          <w:top w:val="nil"/>
          <w:left w:val="nil"/>
          <w:bottom w:val="nil"/>
          <w:right w:val="nil"/>
          <w:between w:val="nil"/>
        </w:pBdr>
        <w:jc w:val="center"/>
        <w:rPr>
          <w:rFonts w:ascii="Century" w:hAnsi="Century"/>
          <w:b/>
          <w:color w:val="000000"/>
          <w:sz w:val="28"/>
          <w:szCs w:val="28"/>
        </w:rPr>
      </w:pPr>
    </w:p>
    <w:p w14:paraId="4DBFFF8A" w14:textId="77777777" w:rsidR="00BA5FCD" w:rsidRPr="000458A7" w:rsidRDefault="00BA5FCD" w:rsidP="00BA5FCD">
      <w:pPr>
        <w:pStyle w:val="10"/>
        <w:pBdr>
          <w:top w:val="nil"/>
          <w:left w:val="nil"/>
          <w:bottom w:val="nil"/>
          <w:right w:val="nil"/>
          <w:between w:val="nil"/>
        </w:pBdr>
        <w:jc w:val="center"/>
        <w:rPr>
          <w:rFonts w:ascii="Century" w:hAnsi="Century"/>
          <w:b/>
          <w:color w:val="000000"/>
          <w:sz w:val="28"/>
          <w:szCs w:val="28"/>
        </w:rPr>
      </w:pPr>
    </w:p>
    <w:p w14:paraId="59BB31B7" w14:textId="77777777" w:rsidR="00BA5FCD" w:rsidRPr="000458A7" w:rsidRDefault="00BA5FCD" w:rsidP="00BA5FCD">
      <w:pPr>
        <w:pStyle w:val="10"/>
        <w:pBdr>
          <w:top w:val="nil"/>
          <w:left w:val="nil"/>
          <w:bottom w:val="nil"/>
          <w:right w:val="nil"/>
          <w:between w:val="nil"/>
        </w:pBdr>
        <w:jc w:val="center"/>
        <w:rPr>
          <w:rFonts w:ascii="Century" w:hAnsi="Century"/>
          <w:b/>
          <w:color w:val="000000"/>
          <w:sz w:val="28"/>
          <w:szCs w:val="28"/>
        </w:rPr>
      </w:pPr>
    </w:p>
    <w:p w14:paraId="7D6F187C" w14:textId="77777777" w:rsidR="00BA5FCD" w:rsidRPr="000458A7" w:rsidRDefault="00BA5FCD" w:rsidP="00BA5FCD">
      <w:pPr>
        <w:pStyle w:val="10"/>
        <w:pBdr>
          <w:top w:val="nil"/>
          <w:left w:val="nil"/>
          <w:bottom w:val="nil"/>
          <w:right w:val="nil"/>
          <w:between w:val="nil"/>
        </w:pBdr>
        <w:jc w:val="center"/>
        <w:rPr>
          <w:rFonts w:ascii="Century" w:hAnsi="Century"/>
          <w:b/>
          <w:color w:val="000000"/>
          <w:sz w:val="28"/>
          <w:szCs w:val="28"/>
        </w:rPr>
      </w:pPr>
    </w:p>
    <w:p w14:paraId="2A0B598A" w14:textId="77777777" w:rsidR="00BA5FCD" w:rsidRPr="000458A7" w:rsidRDefault="00BA5FCD" w:rsidP="00BA5FCD">
      <w:pPr>
        <w:pStyle w:val="10"/>
        <w:pBdr>
          <w:top w:val="nil"/>
          <w:left w:val="nil"/>
          <w:bottom w:val="nil"/>
          <w:right w:val="nil"/>
          <w:between w:val="nil"/>
        </w:pBdr>
        <w:jc w:val="center"/>
        <w:rPr>
          <w:rFonts w:ascii="Century" w:hAnsi="Century"/>
          <w:b/>
          <w:color w:val="000000"/>
          <w:sz w:val="28"/>
          <w:szCs w:val="28"/>
        </w:rPr>
      </w:pPr>
    </w:p>
    <w:p w14:paraId="1076CCCA" w14:textId="77777777" w:rsidR="00BA5FCD" w:rsidRPr="000458A7" w:rsidRDefault="00BA5FCD" w:rsidP="00BA5FCD">
      <w:pPr>
        <w:pStyle w:val="10"/>
        <w:pBdr>
          <w:top w:val="nil"/>
          <w:left w:val="nil"/>
          <w:bottom w:val="nil"/>
          <w:right w:val="nil"/>
          <w:between w:val="nil"/>
        </w:pBdr>
        <w:jc w:val="center"/>
        <w:rPr>
          <w:rFonts w:ascii="Century" w:hAnsi="Century"/>
          <w:b/>
          <w:color w:val="000000"/>
          <w:sz w:val="28"/>
          <w:szCs w:val="28"/>
        </w:rPr>
      </w:pPr>
      <w:r w:rsidRPr="000458A7">
        <w:rPr>
          <w:rFonts w:ascii="Century" w:hAnsi="Century"/>
          <w:b/>
          <w:color w:val="000000"/>
          <w:sz w:val="28"/>
          <w:szCs w:val="28"/>
        </w:rPr>
        <w:t>ПРОГРАМА</w:t>
      </w:r>
    </w:p>
    <w:p w14:paraId="389B2A10" w14:textId="77777777" w:rsidR="00BA5FCD" w:rsidRPr="000458A7" w:rsidRDefault="00BA5FCD" w:rsidP="00BA5FCD">
      <w:pPr>
        <w:pStyle w:val="10"/>
        <w:pBdr>
          <w:top w:val="nil"/>
          <w:left w:val="nil"/>
          <w:bottom w:val="nil"/>
          <w:right w:val="nil"/>
          <w:between w:val="nil"/>
        </w:pBdr>
        <w:jc w:val="center"/>
        <w:rPr>
          <w:rFonts w:ascii="Century" w:hAnsi="Century"/>
          <w:color w:val="000000"/>
          <w:sz w:val="28"/>
          <w:szCs w:val="28"/>
        </w:rPr>
      </w:pPr>
    </w:p>
    <w:p w14:paraId="33A988FF" w14:textId="77777777" w:rsidR="00BA5FCD" w:rsidRPr="000458A7" w:rsidRDefault="00BA5FCD" w:rsidP="00BA5FCD">
      <w:pPr>
        <w:pStyle w:val="10"/>
        <w:pBdr>
          <w:top w:val="nil"/>
          <w:left w:val="nil"/>
          <w:bottom w:val="nil"/>
          <w:right w:val="nil"/>
          <w:between w:val="nil"/>
        </w:pBdr>
        <w:ind w:left="720"/>
        <w:jc w:val="center"/>
        <w:rPr>
          <w:rFonts w:ascii="Century" w:hAnsi="Century"/>
          <w:color w:val="000000"/>
          <w:sz w:val="28"/>
          <w:szCs w:val="28"/>
        </w:rPr>
      </w:pPr>
      <w:r w:rsidRPr="000458A7">
        <w:rPr>
          <w:rFonts w:ascii="Century" w:hAnsi="Century"/>
          <w:color w:val="000000"/>
          <w:sz w:val="28"/>
          <w:szCs w:val="28"/>
        </w:rPr>
        <w:t>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2025 рік.</w:t>
      </w:r>
    </w:p>
    <w:p w14:paraId="09F968AB" w14:textId="77777777" w:rsidR="00BA5FCD" w:rsidRPr="000458A7" w:rsidRDefault="00BA5FCD" w:rsidP="00BA5FCD">
      <w:pPr>
        <w:pStyle w:val="10"/>
        <w:pBdr>
          <w:top w:val="nil"/>
          <w:left w:val="nil"/>
          <w:bottom w:val="nil"/>
          <w:right w:val="nil"/>
          <w:between w:val="nil"/>
        </w:pBdr>
        <w:jc w:val="center"/>
        <w:rPr>
          <w:rFonts w:ascii="Century" w:hAnsi="Century"/>
          <w:color w:val="000000"/>
          <w:sz w:val="28"/>
          <w:szCs w:val="28"/>
        </w:rPr>
      </w:pPr>
    </w:p>
    <w:p w14:paraId="40312D48"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39A2EFBC"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3AD3CB33"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6A273D70"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7E6CF0B0"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345A8B92"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10A92ECB"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4574D18D"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2D97E3B8"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3707C6FC"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406993C7"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2D571827"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0146685D"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051E633F"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79D228D9"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0E7604AE"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609E3464"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304CCE79"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0D99D240" w14:textId="77777777" w:rsidR="00BA5FCD" w:rsidRPr="000458A7" w:rsidRDefault="00BA5FCD" w:rsidP="00BA5FCD">
      <w:pPr>
        <w:pStyle w:val="10"/>
        <w:pBdr>
          <w:top w:val="nil"/>
          <w:left w:val="nil"/>
          <w:bottom w:val="nil"/>
          <w:right w:val="nil"/>
          <w:between w:val="nil"/>
        </w:pBdr>
        <w:rPr>
          <w:rFonts w:ascii="Century" w:hAnsi="Century"/>
          <w:b/>
          <w:color w:val="000000"/>
          <w:sz w:val="28"/>
          <w:szCs w:val="28"/>
        </w:rPr>
      </w:pPr>
    </w:p>
    <w:p w14:paraId="61239001" w14:textId="77777777" w:rsidR="00BA5FCD" w:rsidRPr="000458A7" w:rsidRDefault="00BA5FCD" w:rsidP="00BA5FCD">
      <w:pPr>
        <w:pStyle w:val="10"/>
        <w:pBdr>
          <w:top w:val="nil"/>
          <w:left w:val="nil"/>
          <w:bottom w:val="nil"/>
          <w:right w:val="nil"/>
          <w:between w:val="nil"/>
        </w:pBdr>
        <w:rPr>
          <w:rFonts w:ascii="Century" w:hAnsi="Century"/>
          <w:color w:val="000000"/>
          <w:sz w:val="28"/>
          <w:szCs w:val="28"/>
        </w:rPr>
      </w:pPr>
      <w:r w:rsidRPr="000458A7">
        <w:rPr>
          <w:rFonts w:ascii="Century" w:hAnsi="Century"/>
          <w:b/>
          <w:color w:val="000000"/>
          <w:sz w:val="28"/>
          <w:szCs w:val="28"/>
        </w:rPr>
        <w:tab/>
      </w:r>
      <w:r w:rsidRPr="000458A7">
        <w:rPr>
          <w:rFonts w:ascii="Century" w:hAnsi="Century"/>
          <w:b/>
          <w:color w:val="000000"/>
          <w:sz w:val="28"/>
          <w:szCs w:val="28"/>
        </w:rPr>
        <w:tab/>
      </w:r>
      <w:r w:rsidRPr="000458A7">
        <w:rPr>
          <w:rFonts w:ascii="Century" w:hAnsi="Century"/>
          <w:b/>
          <w:color w:val="000000"/>
          <w:sz w:val="28"/>
          <w:szCs w:val="28"/>
        </w:rPr>
        <w:tab/>
      </w:r>
      <w:r w:rsidRPr="000458A7">
        <w:rPr>
          <w:rFonts w:ascii="Century" w:hAnsi="Century"/>
          <w:b/>
          <w:color w:val="000000"/>
          <w:sz w:val="28"/>
          <w:szCs w:val="28"/>
        </w:rPr>
        <w:tab/>
      </w:r>
      <w:r w:rsidRPr="000458A7">
        <w:rPr>
          <w:rFonts w:ascii="Century" w:hAnsi="Century"/>
          <w:b/>
          <w:color w:val="000000"/>
          <w:sz w:val="28"/>
          <w:szCs w:val="28"/>
        </w:rPr>
        <w:tab/>
      </w:r>
      <w:r w:rsidRPr="000458A7">
        <w:rPr>
          <w:rFonts w:ascii="Century" w:hAnsi="Century"/>
          <w:color w:val="000000"/>
          <w:sz w:val="28"/>
          <w:szCs w:val="28"/>
        </w:rPr>
        <w:t>м. Городок</w:t>
      </w:r>
    </w:p>
    <w:p w14:paraId="2C585D64" w14:textId="77777777" w:rsidR="001F31D4" w:rsidRPr="000458A7" w:rsidRDefault="001F31D4" w:rsidP="00BA5FCD">
      <w:pPr>
        <w:pStyle w:val="10"/>
        <w:pBdr>
          <w:top w:val="nil"/>
          <w:left w:val="nil"/>
          <w:bottom w:val="nil"/>
          <w:right w:val="nil"/>
          <w:between w:val="nil"/>
        </w:pBdr>
        <w:rPr>
          <w:rFonts w:ascii="Century" w:hAnsi="Century"/>
          <w:color w:val="000000"/>
          <w:sz w:val="28"/>
          <w:szCs w:val="28"/>
        </w:rPr>
      </w:pPr>
    </w:p>
    <w:p w14:paraId="13D78D1F" w14:textId="77777777" w:rsidR="000458A7" w:rsidRPr="000458A7" w:rsidRDefault="000458A7" w:rsidP="000458A7">
      <w:pPr>
        <w:pStyle w:val="10"/>
        <w:jc w:val="center"/>
        <w:rPr>
          <w:rFonts w:ascii="Century" w:hAnsi="Century"/>
          <w:color w:val="000000"/>
          <w:sz w:val="28"/>
          <w:szCs w:val="28"/>
        </w:rPr>
      </w:pPr>
      <w:r w:rsidRPr="000458A7">
        <w:rPr>
          <w:rFonts w:ascii="Century" w:hAnsi="Century"/>
          <w:b/>
          <w:color w:val="000000"/>
          <w:sz w:val="28"/>
          <w:szCs w:val="28"/>
        </w:rPr>
        <w:lastRenderedPageBreak/>
        <w:t>ПАСПОРТ</w:t>
      </w:r>
    </w:p>
    <w:p w14:paraId="4F4D94BC" w14:textId="77777777" w:rsidR="000458A7" w:rsidRPr="000458A7" w:rsidRDefault="000458A7" w:rsidP="000458A7">
      <w:pPr>
        <w:pStyle w:val="10"/>
        <w:jc w:val="center"/>
        <w:rPr>
          <w:rFonts w:ascii="Century" w:hAnsi="Century"/>
          <w:b/>
          <w:color w:val="000000"/>
          <w:sz w:val="28"/>
          <w:szCs w:val="28"/>
        </w:rPr>
      </w:pPr>
      <w:r w:rsidRPr="000458A7">
        <w:rPr>
          <w:rFonts w:ascii="Century" w:hAnsi="Century"/>
          <w:b/>
          <w:color w:val="000000"/>
          <w:sz w:val="28"/>
          <w:szCs w:val="28"/>
        </w:rPr>
        <w:t>місцевої цільової програми</w:t>
      </w:r>
    </w:p>
    <w:p w14:paraId="6E4FCC28" w14:textId="77777777" w:rsidR="000458A7" w:rsidRPr="000458A7" w:rsidRDefault="000458A7" w:rsidP="000458A7">
      <w:pPr>
        <w:pStyle w:val="10"/>
        <w:numPr>
          <w:ilvl w:val="0"/>
          <w:numId w:val="3"/>
        </w:numPr>
        <w:rPr>
          <w:rFonts w:ascii="Century" w:hAnsi="Century"/>
          <w:color w:val="000000"/>
          <w:sz w:val="28"/>
          <w:szCs w:val="28"/>
          <w:u w:val="single"/>
        </w:rPr>
      </w:pPr>
      <w:r w:rsidRPr="000458A7">
        <w:rPr>
          <w:rFonts w:ascii="Century" w:hAnsi="Century"/>
          <w:color w:val="000000"/>
          <w:sz w:val="28"/>
          <w:szCs w:val="28"/>
        </w:rPr>
        <w:t xml:space="preserve">Назва </w:t>
      </w:r>
      <w:r w:rsidRPr="000458A7">
        <w:rPr>
          <w:rFonts w:ascii="Century" w:hAnsi="Century"/>
          <w:color w:val="000000"/>
          <w:sz w:val="28"/>
          <w:szCs w:val="28"/>
          <w:u w:val="single"/>
        </w:rPr>
        <w:t>Програма 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2025 рік.</w:t>
      </w:r>
    </w:p>
    <w:p w14:paraId="06580EE6" w14:textId="77777777" w:rsidR="000458A7" w:rsidRPr="000458A7" w:rsidRDefault="000458A7" w:rsidP="000458A7">
      <w:pPr>
        <w:pStyle w:val="10"/>
        <w:numPr>
          <w:ilvl w:val="0"/>
          <w:numId w:val="3"/>
        </w:numPr>
        <w:rPr>
          <w:rFonts w:ascii="Century" w:hAnsi="Century"/>
          <w:color w:val="000000"/>
          <w:sz w:val="28"/>
          <w:szCs w:val="28"/>
        </w:rPr>
      </w:pPr>
      <w:r w:rsidRPr="000458A7">
        <w:rPr>
          <w:rFonts w:ascii="Century" w:hAnsi="Century"/>
          <w:color w:val="000000"/>
          <w:sz w:val="28"/>
          <w:szCs w:val="28"/>
        </w:rPr>
        <w:t xml:space="preserve">Замовник. </w:t>
      </w:r>
      <w:r w:rsidRPr="000458A7">
        <w:rPr>
          <w:rFonts w:ascii="Century" w:hAnsi="Century"/>
          <w:color w:val="000000"/>
          <w:sz w:val="28"/>
          <w:szCs w:val="28"/>
          <w:u w:val="single"/>
        </w:rPr>
        <w:t>Державна установа «Львівський обласний центр контролю та профілактики хвороб МОЗ України».</w:t>
      </w:r>
    </w:p>
    <w:p w14:paraId="7B404479" w14:textId="77777777" w:rsidR="000458A7" w:rsidRPr="000458A7" w:rsidRDefault="000458A7" w:rsidP="000458A7">
      <w:pPr>
        <w:pStyle w:val="10"/>
        <w:numPr>
          <w:ilvl w:val="0"/>
          <w:numId w:val="3"/>
        </w:numPr>
        <w:rPr>
          <w:rFonts w:ascii="Century" w:hAnsi="Century"/>
          <w:color w:val="000000"/>
          <w:sz w:val="28"/>
          <w:szCs w:val="28"/>
          <w:u w:val="single"/>
        </w:rPr>
      </w:pPr>
      <w:r w:rsidRPr="000458A7">
        <w:rPr>
          <w:rFonts w:ascii="Century" w:hAnsi="Century"/>
          <w:color w:val="000000"/>
          <w:sz w:val="28"/>
          <w:szCs w:val="28"/>
        </w:rPr>
        <w:t xml:space="preserve">Мета. </w:t>
      </w:r>
      <w:r w:rsidRPr="000458A7">
        <w:rPr>
          <w:rFonts w:ascii="Century" w:hAnsi="Century"/>
          <w:color w:val="000000"/>
          <w:sz w:val="28"/>
          <w:szCs w:val="28"/>
          <w:u w:val="single"/>
        </w:rPr>
        <w:t>Придбання лабораторного обладнання, реактивів та медикаментів, будівельних матеріалів та проведення ремонтних робіт  для оснащення сучасної бактеріологічної та вірусологічної лабораторії Державної установи «Львівський обласний центр контролю та профілактики хвороб МОЗ України» та модернізація відділу дезінфекції.</w:t>
      </w:r>
    </w:p>
    <w:p w14:paraId="6B8FDBA0" w14:textId="77777777" w:rsidR="000458A7" w:rsidRPr="000458A7" w:rsidRDefault="000458A7" w:rsidP="000458A7">
      <w:pPr>
        <w:pStyle w:val="10"/>
        <w:numPr>
          <w:ilvl w:val="0"/>
          <w:numId w:val="3"/>
        </w:numPr>
        <w:rPr>
          <w:rFonts w:ascii="Century" w:hAnsi="Century"/>
          <w:color w:val="000000"/>
          <w:sz w:val="28"/>
          <w:szCs w:val="28"/>
        </w:rPr>
      </w:pPr>
      <w:r w:rsidRPr="000458A7">
        <w:rPr>
          <w:rFonts w:ascii="Century" w:hAnsi="Century"/>
          <w:color w:val="000000"/>
          <w:sz w:val="28"/>
          <w:szCs w:val="28"/>
        </w:rPr>
        <w:t xml:space="preserve">Початок – </w:t>
      </w:r>
      <w:r w:rsidRPr="000458A7">
        <w:rPr>
          <w:rFonts w:ascii="Century" w:hAnsi="Century"/>
          <w:color w:val="000000"/>
          <w:sz w:val="28"/>
          <w:szCs w:val="28"/>
          <w:u w:val="single"/>
        </w:rPr>
        <w:t>квітень 2025 року.</w:t>
      </w:r>
    </w:p>
    <w:p w14:paraId="08E98B21" w14:textId="77777777" w:rsidR="000458A7" w:rsidRPr="000458A7" w:rsidRDefault="000458A7" w:rsidP="000458A7">
      <w:pPr>
        <w:pStyle w:val="10"/>
        <w:numPr>
          <w:ilvl w:val="0"/>
          <w:numId w:val="3"/>
        </w:numPr>
        <w:rPr>
          <w:rFonts w:ascii="Century" w:hAnsi="Century"/>
          <w:color w:val="000000"/>
          <w:sz w:val="28"/>
          <w:szCs w:val="28"/>
          <w:u w:val="single"/>
        </w:rPr>
      </w:pPr>
      <w:r w:rsidRPr="000458A7">
        <w:rPr>
          <w:rFonts w:ascii="Century" w:hAnsi="Century"/>
          <w:color w:val="000000"/>
          <w:sz w:val="28"/>
          <w:szCs w:val="28"/>
        </w:rPr>
        <w:t xml:space="preserve">Етапи фінансування </w:t>
      </w:r>
      <w:r w:rsidRPr="000458A7">
        <w:rPr>
          <w:rFonts w:ascii="Century" w:hAnsi="Century"/>
          <w:color w:val="000000"/>
          <w:sz w:val="28"/>
          <w:szCs w:val="28"/>
          <w:u w:val="single"/>
        </w:rPr>
        <w:t>протягом  2025 року</w:t>
      </w:r>
    </w:p>
    <w:p w14:paraId="028B2A2A" w14:textId="77777777" w:rsidR="000458A7" w:rsidRPr="000458A7" w:rsidRDefault="000458A7" w:rsidP="000458A7">
      <w:pPr>
        <w:pStyle w:val="10"/>
        <w:numPr>
          <w:ilvl w:val="0"/>
          <w:numId w:val="3"/>
        </w:numPr>
        <w:rPr>
          <w:rFonts w:ascii="Century" w:hAnsi="Century"/>
          <w:color w:val="000000"/>
          <w:sz w:val="28"/>
          <w:szCs w:val="28"/>
        </w:rPr>
      </w:pPr>
      <w:r w:rsidRPr="000458A7">
        <w:rPr>
          <w:rFonts w:ascii="Century" w:hAnsi="Century"/>
          <w:b/>
          <w:color w:val="000000"/>
          <w:sz w:val="28"/>
          <w:szCs w:val="28"/>
        </w:rPr>
        <w:t xml:space="preserve">Загальні обсяги фінансування, у тому числі кошти  міського бюджету 5 317 000,00грн.( </w:t>
      </w:r>
      <w:r w:rsidRPr="000458A7">
        <w:rPr>
          <w:rFonts w:ascii="Century" w:hAnsi="Century"/>
          <w:b/>
          <w:color w:val="000000"/>
          <w:sz w:val="28"/>
          <w:szCs w:val="28"/>
          <w:u w:val="single"/>
        </w:rPr>
        <w:t>п’ять  мільйонів триста сімнадцять тисяч грн.)</w:t>
      </w:r>
    </w:p>
    <w:p w14:paraId="2FDD3113" w14:textId="77777777" w:rsidR="000458A7" w:rsidRPr="000458A7" w:rsidRDefault="000458A7" w:rsidP="000458A7">
      <w:pPr>
        <w:pStyle w:val="10"/>
        <w:numPr>
          <w:ilvl w:val="0"/>
          <w:numId w:val="3"/>
        </w:numPr>
        <w:rPr>
          <w:rFonts w:ascii="Century" w:hAnsi="Century"/>
          <w:color w:val="000000"/>
          <w:sz w:val="28"/>
          <w:szCs w:val="28"/>
        </w:rPr>
      </w:pPr>
      <w:r w:rsidRPr="000458A7">
        <w:rPr>
          <w:rFonts w:ascii="Century" w:hAnsi="Century"/>
          <w:color w:val="000000"/>
          <w:sz w:val="28"/>
          <w:szCs w:val="28"/>
        </w:rPr>
        <w:t>Очікувані результати виконання програми</w:t>
      </w:r>
    </w:p>
    <w:p w14:paraId="53B07900" w14:textId="77777777" w:rsidR="000458A7" w:rsidRPr="000458A7" w:rsidRDefault="000458A7" w:rsidP="000458A7">
      <w:pPr>
        <w:pStyle w:val="10"/>
        <w:numPr>
          <w:ilvl w:val="1"/>
          <w:numId w:val="3"/>
        </w:numPr>
        <w:rPr>
          <w:rFonts w:ascii="Century" w:hAnsi="Century"/>
          <w:color w:val="000000"/>
          <w:sz w:val="28"/>
          <w:szCs w:val="28"/>
          <w:u w:val="single"/>
        </w:rPr>
      </w:pPr>
      <w:r w:rsidRPr="000458A7">
        <w:rPr>
          <w:rFonts w:ascii="Century" w:hAnsi="Century"/>
          <w:color w:val="000000"/>
          <w:sz w:val="28"/>
          <w:szCs w:val="28"/>
          <w:u w:val="single"/>
        </w:rPr>
        <w:t>Забезпечення санітарно-епідеміологічного благополуччя мешканців через доступність до якісного вірусологічного та бактеріологічного обстеження, визначення чутливості до антибіотиків та профілактики формування антибіотикорезистентних штамів мікроорганізмів..</w:t>
      </w:r>
    </w:p>
    <w:p w14:paraId="341ED057" w14:textId="77777777" w:rsidR="000458A7" w:rsidRPr="000458A7" w:rsidRDefault="000458A7" w:rsidP="000458A7">
      <w:pPr>
        <w:pStyle w:val="10"/>
        <w:numPr>
          <w:ilvl w:val="1"/>
          <w:numId w:val="3"/>
        </w:numPr>
        <w:pBdr>
          <w:top w:val="nil"/>
          <w:left w:val="nil"/>
          <w:bottom w:val="nil"/>
          <w:right w:val="nil"/>
          <w:between w:val="nil"/>
        </w:pBdr>
        <w:jc w:val="both"/>
        <w:rPr>
          <w:rFonts w:ascii="Century" w:hAnsi="Century"/>
          <w:color w:val="000000"/>
          <w:sz w:val="28"/>
          <w:szCs w:val="28"/>
        </w:rPr>
      </w:pPr>
      <w:r w:rsidRPr="000458A7">
        <w:rPr>
          <w:rFonts w:ascii="Century" w:hAnsi="Century"/>
          <w:color w:val="000000"/>
          <w:sz w:val="28"/>
          <w:szCs w:val="28"/>
        </w:rPr>
        <w:t>Оснащення сучасної мережі бактеріологічної,     паразитологічної та вірусологічної лабораторії</w:t>
      </w:r>
      <w:r w:rsidRPr="000458A7">
        <w:rPr>
          <w:rFonts w:ascii="Century" w:hAnsi="Century"/>
          <w:color w:val="474747"/>
          <w:sz w:val="28"/>
          <w:szCs w:val="28"/>
          <w:highlight w:val="white"/>
        </w:rPr>
        <w:t>,</w:t>
      </w:r>
      <w:r w:rsidRPr="000458A7">
        <w:rPr>
          <w:rFonts w:ascii="Century" w:eastAsia="Arial" w:hAnsi="Century" w:cs="Arial"/>
          <w:color w:val="474747"/>
          <w:sz w:val="28"/>
          <w:szCs w:val="28"/>
          <w:highlight w:val="white"/>
        </w:rPr>
        <w:t xml:space="preserve"> </w:t>
      </w:r>
      <w:r w:rsidRPr="000458A7">
        <w:rPr>
          <w:rFonts w:ascii="Century" w:hAnsi="Century"/>
          <w:color w:val="000000"/>
          <w:sz w:val="28"/>
          <w:szCs w:val="28"/>
        </w:rPr>
        <w:t>шляхом придбання лабораторного обладнання, реактивів та медикаментів, будівельних матеріалів та проведення ремонтних робіт.</w:t>
      </w:r>
    </w:p>
    <w:p w14:paraId="1D2B5D31" w14:textId="77777777" w:rsidR="000458A7" w:rsidRPr="000458A7" w:rsidRDefault="000458A7" w:rsidP="000458A7">
      <w:pPr>
        <w:pStyle w:val="10"/>
        <w:numPr>
          <w:ilvl w:val="0"/>
          <w:numId w:val="3"/>
        </w:numPr>
        <w:rPr>
          <w:rFonts w:ascii="Century" w:hAnsi="Century"/>
          <w:color w:val="000000"/>
          <w:sz w:val="28"/>
          <w:szCs w:val="28"/>
        </w:rPr>
      </w:pPr>
      <w:r w:rsidRPr="000458A7">
        <w:rPr>
          <w:rFonts w:ascii="Century" w:hAnsi="Century"/>
          <w:color w:val="000000"/>
          <w:sz w:val="28"/>
          <w:szCs w:val="28"/>
        </w:rPr>
        <w:t xml:space="preserve">Установа, уповноважена здійснювати контроль за виконанням, терміни проведення звітності </w:t>
      </w:r>
      <w:r w:rsidRPr="000458A7">
        <w:rPr>
          <w:rFonts w:ascii="Century" w:hAnsi="Century"/>
          <w:color w:val="000000"/>
          <w:sz w:val="28"/>
          <w:szCs w:val="28"/>
          <w:u w:val="single"/>
        </w:rPr>
        <w:t>ДУ «Львівський обласний центр контролю та профілактики хвороб МОЗ України», міська рада.</w:t>
      </w:r>
    </w:p>
    <w:p w14:paraId="23A2F47F" w14:textId="77777777" w:rsidR="000458A7" w:rsidRPr="000458A7" w:rsidRDefault="000458A7" w:rsidP="000458A7">
      <w:pPr>
        <w:pStyle w:val="10"/>
        <w:ind w:left="360"/>
        <w:rPr>
          <w:rFonts w:ascii="Century" w:hAnsi="Century"/>
          <w:color w:val="000000"/>
          <w:sz w:val="28"/>
          <w:szCs w:val="28"/>
        </w:rPr>
      </w:pPr>
    </w:p>
    <w:p w14:paraId="3D8A81DB" w14:textId="77777777" w:rsidR="000458A7" w:rsidRPr="000458A7" w:rsidRDefault="000458A7" w:rsidP="000458A7">
      <w:pPr>
        <w:pStyle w:val="10"/>
        <w:ind w:left="360"/>
        <w:rPr>
          <w:rFonts w:ascii="Century" w:hAnsi="Century"/>
          <w:color w:val="000000"/>
          <w:sz w:val="28"/>
          <w:szCs w:val="28"/>
        </w:rPr>
      </w:pPr>
    </w:p>
    <w:p w14:paraId="05A4809C" w14:textId="5A050081" w:rsidR="000458A7" w:rsidRDefault="000458A7" w:rsidP="000458A7">
      <w:pPr>
        <w:pStyle w:val="10"/>
        <w:pBdr>
          <w:top w:val="nil"/>
          <w:left w:val="nil"/>
          <w:bottom w:val="nil"/>
          <w:right w:val="nil"/>
          <w:between w:val="nil"/>
        </w:pBdr>
        <w:rPr>
          <w:rFonts w:ascii="Century" w:hAnsi="Century"/>
          <w:b/>
          <w:bCs/>
          <w:color w:val="000000"/>
          <w:sz w:val="28"/>
          <w:szCs w:val="28"/>
        </w:rPr>
      </w:pPr>
      <w:r w:rsidRPr="000458A7">
        <w:rPr>
          <w:rFonts w:ascii="Century" w:hAnsi="Century"/>
          <w:b/>
          <w:bCs/>
          <w:color w:val="000000"/>
          <w:sz w:val="28"/>
          <w:szCs w:val="28"/>
        </w:rPr>
        <w:t>Секретар ради</w:t>
      </w:r>
      <w:r w:rsidRPr="000458A7">
        <w:rPr>
          <w:rFonts w:ascii="Century" w:hAnsi="Century"/>
          <w:b/>
          <w:bCs/>
          <w:color w:val="000000"/>
          <w:sz w:val="28"/>
          <w:szCs w:val="28"/>
        </w:rPr>
        <w:tab/>
      </w:r>
      <w:r w:rsidRPr="000458A7">
        <w:rPr>
          <w:rFonts w:ascii="Century" w:hAnsi="Century"/>
          <w:b/>
          <w:bCs/>
          <w:color w:val="000000"/>
          <w:sz w:val="28"/>
          <w:szCs w:val="28"/>
        </w:rPr>
        <w:tab/>
      </w:r>
      <w:r w:rsidRPr="000458A7">
        <w:rPr>
          <w:rFonts w:ascii="Century" w:hAnsi="Century"/>
          <w:b/>
          <w:bCs/>
          <w:color w:val="000000"/>
          <w:sz w:val="28"/>
          <w:szCs w:val="28"/>
        </w:rPr>
        <w:tab/>
      </w:r>
      <w:r w:rsidRPr="000458A7">
        <w:rPr>
          <w:rFonts w:ascii="Century" w:hAnsi="Century"/>
          <w:b/>
          <w:bCs/>
          <w:color w:val="000000"/>
          <w:sz w:val="28"/>
          <w:szCs w:val="28"/>
        </w:rPr>
        <w:tab/>
      </w:r>
      <w:r w:rsidRPr="000458A7">
        <w:rPr>
          <w:rFonts w:ascii="Century" w:hAnsi="Century"/>
          <w:b/>
          <w:bCs/>
          <w:color w:val="000000"/>
          <w:sz w:val="28"/>
          <w:szCs w:val="28"/>
        </w:rPr>
        <w:tab/>
      </w:r>
      <w:r w:rsidRPr="000458A7">
        <w:rPr>
          <w:rFonts w:ascii="Century" w:hAnsi="Century"/>
          <w:b/>
          <w:bCs/>
          <w:color w:val="000000"/>
          <w:sz w:val="28"/>
          <w:szCs w:val="28"/>
        </w:rPr>
        <w:tab/>
        <w:t>Микола ЛУПІЙ</w:t>
      </w:r>
    </w:p>
    <w:p w14:paraId="0CF13599" w14:textId="77777777" w:rsidR="000458A7" w:rsidRDefault="000458A7">
      <w:pPr>
        <w:spacing w:after="200" w:line="276" w:lineRule="auto"/>
        <w:rPr>
          <w:rFonts w:ascii="Century" w:hAnsi="Century"/>
          <w:b/>
          <w:bCs/>
          <w:color w:val="000000"/>
          <w:szCs w:val="28"/>
        </w:rPr>
      </w:pPr>
      <w:r>
        <w:rPr>
          <w:rFonts w:ascii="Century" w:hAnsi="Century"/>
          <w:b/>
          <w:bCs/>
          <w:color w:val="000000"/>
          <w:szCs w:val="28"/>
        </w:rPr>
        <w:br w:type="page"/>
      </w:r>
    </w:p>
    <w:p w14:paraId="01E2904F" w14:textId="77777777" w:rsidR="00BA5FCD" w:rsidRPr="000458A7" w:rsidRDefault="00BA5FCD" w:rsidP="000458A7">
      <w:pPr>
        <w:pStyle w:val="10"/>
        <w:numPr>
          <w:ilvl w:val="0"/>
          <w:numId w:val="1"/>
        </w:numPr>
        <w:pBdr>
          <w:top w:val="nil"/>
          <w:left w:val="nil"/>
          <w:bottom w:val="nil"/>
          <w:right w:val="nil"/>
          <w:between w:val="nil"/>
        </w:pBdr>
        <w:ind w:left="0" w:firstLine="0"/>
        <w:jc w:val="center"/>
        <w:rPr>
          <w:rFonts w:ascii="Century" w:hAnsi="Century"/>
          <w:color w:val="000000"/>
          <w:sz w:val="28"/>
          <w:szCs w:val="28"/>
        </w:rPr>
      </w:pPr>
      <w:r w:rsidRPr="000458A7">
        <w:rPr>
          <w:rFonts w:ascii="Century" w:hAnsi="Century"/>
          <w:color w:val="000000"/>
          <w:sz w:val="28"/>
          <w:szCs w:val="28"/>
        </w:rPr>
        <w:lastRenderedPageBreak/>
        <w:t>ПРОГРАМА</w:t>
      </w:r>
    </w:p>
    <w:p w14:paraId="6BC6C618" w14:textId="77777777" w:rsidR="00BA5FCD" w:rsidRPr="000458A7" w:rsidRDefault="00BA5FCD" w:rsidP="000458A7">
      <w:pPr>
        <w:pStyle w:val="10"/>
        <w:pBdr>
          <w:top w:val="nil"/>
          <w:left w:val="nil"/>
          <w:bottom w:val="nil"/>
          <w:right w:val="nil"/>
          <w:between w:val="nil"/>
        </w:pBdr>
        <w:jc w:val="center"/>
        <w:rPr>
          <w:rFonts w:ascii="Century" w:hAnsi="Century"/>
          <w:color w:val="000000"/>
          <w:sz w:val="28"/>
          <w:szCs w:val="28"/>
        </w:rPr>
      </w:pPr>
      <w:r w:rsidRPr="000458A7">
        <w:rPr>
          <w:rFonts w:ascii="Century" w:hAnsi="Century"/>
          <w:color w:val="000000"/>
          <w:sz w:val="28"/>
          <w:szCs w:val="28"/>
        </w:rPr>
        <w:t>громадського здоров’я</w:t>
      </w:r>
    </w:p>
    <w:p w14:paraId="43AA64AE" w14:textId="77777777" w:rsidR="00BA5FCD" w:rsidRPr="000458A7" w:rsidRDefault="00BA5FCD" w:rsidP="000458A7">
      <w:pPr>
        <w:pStyle w:val="10"/>
        <w:pBdr>
          <w:top w:val="nil"/>
          <w:left w:val="nil"/>
          <w:bottom w:val="nil"/>
          <w:right w:val="nil"/>
          <w:between w:val="nil"/>
        </w:pBdr>
        <w:jc w:val="center"/>
        <w:rPr>
          <w:rFonts w:ascii="Century" w:hAnsi="Century"/>
          <w:color w:val="000000"/>
          <w:sz w:val="28"/>
          <w:szCs w:val="28"/>
        </w:rPr>
      </w:pPr>
    </w:p>
    <w:p w14:paraId="7AE54F95" w14:textId="77777777" w:rsidR="00BA5FCD" w:rsidRPr="000458A7" w:rsidRDefault="00BA5FCD" w:rsidP="00BA5FCD">
      <w:pPr>
        <w:pStyle w:val="10"/>
        <w:pBdr>
          <w:top w:val="nil"/>
          <w:left w:val="nil"/>
          <w:bottom w:val="nil"/>
          <w:right w:val="nil"/>
          <w:between w:val="nil"/>
        </w:pBdr>
        <w:ind w:firstLine="360"/>
        <w:jc w:val="both"/>
        <w:rPr>
          <w:rFonts w:ascii="Century" w:eastAsia="Open Sans" w:hAnsi="Century" w:cs="Open Sans"/>
          <w:color w:val="333333"/>
          <w:sz w:val="28"/>
          <w:szCs w:val="28"/>
        </w:rPr>
      </w:pPr>
      <w:r w:rsidRPr="000458A7">
        <w:rPr>
          <w:rFonts w:ascii="Century" w:hAnsi="Century"/>
          <w:color w:val="333333"/>
          <w:sz w:val="28"/>
          <w:szCs w:val="28"/>
          <w:highlight w:val="white"/>
        </w:rPr>
        <w:t>Відповідно до визначень Закону України «Про систему громадського здоров’я» громадське здоров’я -  це сфера знань та організована діяльність суб’єктів системи громадського здоров’я щодо зміцнення здоров’я, запобігання хворобам, покращення якості та збільшення тривалості життя. Система громадського здоров’я - комплекс інструментів та заходів, що здійснюються суб’єктами системи громадського здоров’я та спрямовані на захист і зміцнення здоров’я населення, запобігання хворобам, покращення якості та збільшення тривалості життя, забезпечення санітарно-епідемічного благополуччя населення.</w:t>
      </w:r>
      <w:r w:rsidRPr="000458A7">
        <w:rPr>
          <w:rFonts w:ascii="Century" w:eastAsia="Open Sans" w:hAnsi="Century" w:cs="Open Sans"/>
          <w:color w:val="333333"/>
          <w:sz w:val="28"/>
          <w:szCs w:val="28"/>
        </w:rPr>
        <w:t xml:space="preserve"> </w:t>
      </w:r>
      <w:r w:rsidRPr="000458A7">
        <w:rPr>
          <w:rFonts w:ascii="Century" w:hAnsi="Century"/>
          <w:color w:val="333333"/>
          <w:sz w:val="28"/>
          <w:szCs w:val="28"/>
        </w:rPr>
        <w:t>Однією з стратегічних цілей є</w:t>
      </w:r>
      <w:r w:rsidRPr="000458A7">
        <w:rPr>
          <w:rFonts w:ascii="Century" w:hAnsi="Century"/>
          <w:sz w:val="28"/>
          <w:szCs w:val="28"/>
        </w:rPr>
        <w:t xml:space="preserve"> </w:t>
      </w:r>
      <w:r w:rsidRPr="000458A7">
        <w:rPr>
          <w:rFonts w:ascii="Century" w:hAnsi="Century"/>
          <w:color w:val="333333"/>
          <w:sz w:val="28"/>
          <w:szCs w:val="28"/>
        </w:rPr>
        <w:t>забезпечити умовами лабораторну мережу, що відповідає стандартам біобезпеки та біозахисту відповідно до Посібника ВООЗ з лабораторної біобезпеки (4-те видання).</w:t>
      </w:r>
      <w:r w:rsidRPr="000458A7">
        <w:rPr>
          <w:rFonts w:ascii="Century" w:eastAsia="Open Sans" w:hAnsi="Century" w:cs="Open Sans"/>
          <w:color w:val="333333"/>
          <w:sz w:val="28"/>
          <w:szCs w:val="28"/>
        </w:rPr>
        <w:t xml:space="preserve">  </w:t>
      </w:r>
      <w:r w:rsidRPr="000458A7">
        <w:rPr>
          <w:rFonts w:ascii="Century" w:hAnsi="Century"/>
          <w:color w:val="333333"/>
          <w:sz w:val="28"/>
          <w:szCs w:val="28"/>
        </w:rPr>
        <w:t xml:space="preserve">Однією із проблем громадського здоров’я </w:t>
      </w:r>
      <w:r w:rsidRPr="000458A7">
        <w:rPr>
          <w:rFonts w:ascii="Century" w:eastAsia="Open Sans" w:hAnsi="Century" w:cs="Open Sans"/>
          <w:color w:val="333333"/>
          <w:sz w:val="28"/>
          <w:szCs w:val="28"/>
        </w:rPr>
        <w:t xml:space="preserve">є </w:t>
      </w:r>
      <w:r w:rsidRPr="000458A7">
        <w:rPr>
          <w:rFonts w:ascii="Century" w:hAnsi="Century"/>
          <w:color w:val="333333"/>
          <w:sz w:val="28"/>
          <w:szCs w:val="28"/>
          <w:highlight w:val="white"/>
        </w:rPr>
        <w:t>стійкість до антибіотиків (антимікробна резистентність) та поява мультирезистентних бактеріальних штамів. Антибіотикорезистентність призводить до зниження ефективності ліків у доступних варіантах лікування, а отже, і до збільшення смертності.</w:t>
      </w:r>
      <w:r w:rsidRPr="000458A7">
        <w:rPr>
          <w:rFonts w:ascii="Century" w:eastAsia="Open Sans" w:hAnsi="Century" w:cs="Open Sans"/>
          <w:color w:val="333333"/>
          <w:sz w:val="28"/>
          <w:szCs w:val="28"/>
          <w:highlight w:val="white"/>
        </w:rPr>
        <w:t xml:space="preserve"> </w:t>
      </w:r>
      <w:r w:rsidRPr="000458A7">
        <w:rPr>
          <w:rFonts w:ascii="Century" w:hAnsi="Century"/>
          <w:color w:val="333333"/>
          <w:sz w:val="28"/>
          <w:szCs w:val="28"/>
          <w:highlight w:val="white"/>
        </w:rPr>
        <w:t>Проблема антибіотикорезистентності стала глобальним викликом сьогодення. Головною його причиною вважають нераціональне застосування антибактеріальної терапії, адже це призводить до селекції хіміорезистентних штамів збудника. Таким чином, якісне лабораторне обстеження хворих з раннім виділенням збудників хвороб та визначенням чутливості до антибіотиків є вимогою сьогодення. Віруси також викликають захворювання і подальший розвиток противірусних препаратів потребує якісної вірусологічної діагностики як матеріалу від хворих з ознаками хвороби так і довкілля, а саме: питної води, води рекреаційних зон та стічних вод. Загроза ураження біологічними, хімічними та радіаційними речовинами ставить нові виклики та потребує повсякденного моніторингу навколишнього середовища з використанням методів лабораторної діагностики та навчання працівників та населення. Зрстання числа переносників інфекційних хвороб потребує проведення ретельних заходів з дезінсекції та дератизації. Війна призвела до нових викликів, що пов’язані з реагуванням на безпеки та загрози хімічного, радіаційного та біологічного характеру.</w:t>
      </w:r>
    </w:p>
    <w:p w14:paraId="4A2B084E" w14:textId="77777777" w:rsidR="00BA5FCD" w:rsidRPr="000458A7" w:rsidRDefault="00BA5FCD" w:rsidP="00BA5FCD">
      <w:pPr>
        <w:pStyle w:val="10"/>
        <w:pBdr>
          <w:top w:val="nil"/>
          <w:left w:val="nil"/>
          <w:bottom w:val="nil"/>
          <w:right w:val="nil"/>
          <w:between w:val="nil"/>
        </w:pBdr>
        <w:ind w:firstLine="360"/>
        <w:jc w:val="both"/>
        <w:rPr>
          <w:rFonts w:ascii="Century" w:hAnsi="Century"/>
          <w:color w:val="000000"/>
          <w:sz w:val="28"/>
          <w:szCs w:val="28"/>
        </w:rPr>
      </w:pPr>
    </w:p>
    <w:p w14:paraId="6FEA77DE" w14:textId="77777777" w:rsidR="00BA5FCD" w:rsidRPr="000458A7" w:rsidRDefault="00BA5FCD" w:rsidP="00BA5FCD">
      <w:pPr>
        <w:pStyle w:val="10"/>
        <w:pBdr>
          <w:top w:val="nil"/>
          <w:left w:val="nil"/>
          <w:bottom w:val="nil"/>
          <w:right w:val="nil"/>
          <w:between w:val="nil"/>
        </w:pBdr>
        <w:ind w:firstLine="360"/>
        <w:jc w:val="center"/>
        <w:rPr>
          <w:rFonts w:ascii="Century" w:hAnsi="Century"/>
          <w:color w:val="000000"/>
          <w:sz w:val="28"/>
          <w:szCs w:val="28"/>
        </w:rPr>
      </w:pPr>
      <w:r w:rsidRPr="000458A7">
        <w:rPr>
          <w:rFonts w:ascii="Century" w:hAnsi="Century"/>
          <w:color w:val="000000"/>
          <w:sz w:val="28"/>
          <w:szCs w:val="28"/>
        </w:rPr>
        <w:t>II. Мета розроблення програми</w:t>
      </w:r>
    </w:p>
    <w:p w14:paraId="11057032" w14:textId="77777777" w:rsidR="00BA5FCD" w:rsidRPr="000458A7" w:rsidRDefault="00BA5FCD" w:rsidP="00BA5FCD">
      <w:pPr>
        <w:pStyle w:val="10"/>
        <w:pBdr>
          <w:top w:val="nil"/>
          <w:left w:val="nil"/>
          <w:bottom w:val="nil"/>
          <w:right w:val="nil"/>
          <w:between w:val="nil"/>
        </w:pBdr>
        <w:ind w:firstLine="360"/>
        <w:jc w:val="both"/>
        <w:rPr>
          <w:rFonts w:ascii="Century" w:hAnsi="Century"/>
          <w:color w:val="000000"/>
          <w:sz w:val="28"/>
          <w:szCs w:val="28"/>
        </w:rPr>
      </w:pPr>
    </w:p>
    <w:p w14:paraId="18ADDB0D" w14:textId="77777777" w:rsidR="00BA5FCD" w:rsidRPr="000458A7" w:rsidRDefault="00BA5FCD" w:rsidP="00BA5FCD">
      <w:pPr>
        <w:pStyle w:val="10"/>
        <w:pBdr>
          <w:top w:val="nil"/>
          <w:left w:val="nil"/>
          <w:bottom w:val="nil"/>
          <w:right w:val="nil"/>
          <w:between w:val="nil"/>
        </w:pBdr>
        <w:ind w:firstLine="360"/>
        <w:jc w:val="both"/>
        <w:rPr>
          <w:rFonts w:ascii="Century" w:hAnsi="Century"/>
          <w:color w:val="000000"/>
          <w:sz w:val="28"/>
          <w:szCs w:val="28"/>
        </w:rPr>
      </w:pPr>
      <w:r w:rsidRPr="000458A7">
        <w:rPr>
          <w:rFonts w:ascii="Century" w:hAnsi="Century"/>
          <w:color w:val="000000"/>
          <w:sz w:val="28"/>
          <w:szCs w:val="28"/>
        </w:rPr>
        <w:t xml:space="preserve">Метою розроблення програми є забезпечення санітарно-епідеміологічного благополуччя мешканців через доступність до </w:t>
      </w:r>
      <w:r w:rsidRPr="000458A7">
        <w:rPr>
          <w:rFonts w:ascii="Century" w:hAnsi="Century"/>
          <w:color w:val="000000"/>
          <w:sz w:val="28"/>
          <w:szCs w:val="28"/>
        </w:rPr>
        <w:lastRenderedPageBreak/>
        <w:t xml:space="preserve">якісного вірусологічного та бактеріологічного обстеження, визначення чутливості до антибіотиків та профілактики формування антибіотикорезистентних штамів мікроорганізмів; оснащення сучасної мережі бактеріологічної, паразитологічної та вірусологічної лабораторії Державної установи «Львівський обласний центр контролю та профілактики хвороб МОЗ України» та модернізації  сектору дезінфекції, налагодження діяльності відповідно до вимог </w:t>
      </w:r>
      <w:r w:rsidRPr="000458A7">
        <w:rPr>
          <w:rFonts w:ascii="Century" w:hAnsi="Century"/>
          <w:color w:val="767676"/>
          <w:sz w:val="28"/>
          <w:szCs w:val="28"/>
          <w:highlight w:val="white"/>
        </w:rPr>
        <w:t>наказу</w:t>
      </w:r>
      <w:r w:rsidRPr="000458A7">
        <w:rPr>
          <w:rFonts w:ascii="Century" w:hAnsi="Century"/>
          <w:color w:val="474747"/>
          <w:sz w:val="28"/>
          <w:szCs w:val="28"/>
          <w:highlight w:val="white"/>
        </w:rPr>
        <w:t> МОЗ від 31.10.2024 № 1827. «Порядок управління медичними </w:t>
      </w:r>
      <w:r w:rsidRPr="000458A7">
        <w:rPr>
          <w:rFonts w:ascii="Century" w:hAnsi="Century"/>
          <w:color w:val="767676"/>
          <w:sz w:val="28"/>
          <w:szCs w:val="28"/>
          <w:highlight w:val="white"/>
        </w:rPr>
        <w:t>відходами»</w:t>
      </w:r>
      <w:r w:rsidRPr="000458A7">
        <w:rPr>
          <w:rFonts w:ascii="Century" w:hAnsi="Century"/>
          <w:color w:val="474747"/>
          <w:sz w:val="28"/>
          <w:szCs w:val="28"/>
          <w:highlight w:val="white"/>
        </w:rPr>
        <w:t>,</w:t>
      </w:r>
      <w:r w:rsidRPr="000458A7">
        <w:rPr>
          <w:rFonts w:ascii="Century" w:eastAsia="Arial" w:hAnsi="Century" w:cs="Arial"/>
          <w:color w:val="474747"/>
          <w:sz w:val="28"/>
          <w:szCs w:val="28"/>
          <w:highlight w:val="white"/>
        </w:rPr>
        <w:t xml:space="preserve"> </w:t>
      </w:r>
      <w:r w:rsidRPr="000458A7">
        <w:rPr>
          <w:rFonts w:ascii="Century" w:hAnsi="Century"/>
          <w:color w:val="000000"/>
          <w:sz w:val="28"/>
          <w:szCs w:val="28"/>
        </w:rPr>
        <w:t>шляхом придбання лабораторного обладнання, реактивів та медикаментів, будівельних матеріалів та проведення ремонтних робіт.</w:t>
      </w:r>
    </w:p>
    <w:p w14:paraId="60B92DA1" w14:textId="77777777" w:rsidR="00BA5FCD" w:rsidRPr="000458A7" w:rsidRDefault="00BA5FCD" w:rsidP="00BA5FCD">
      <w:pPr>
        <w:pStyle w:val="10"/>
        <w:pBdr>
          <w:top w:val="nil"/>
          <w:left w:val="nil"/>
          <w:bottom w:val="nil"/>
          <w:right w:val="nil"/>
          <w:between w:val="nil"/>
        </w:pBdr>
        <w:ind w:firstLine="360"/>
        <w:jc w:val="both"/>
        <w:rPr>
          <w:rFonts w:ascii="Century" w:hAnsi="Century"/>
          <w:color w:val="000000"/>
          <w:sz w:val="28"/>
          <w:szCs w:val="28"/>
        </w:rPr>
      </w:pPr>
    </w:p>
    <w:p w14:paraId="3B186443" w14:textId="77777777" w:rsidR="00BA5FCD" w:rsidRPr="000458A7" w:rsidRDefault="00BA5FCD" w:rsidP="00BA5FCD">
      <w:pPr>
        <w:pStyle w:val="10"/>
        <w:pBdr>
          <w:top w:val="nil"/>
          <w:left w:val="nil"/>
          <w:bottom w:val="nil"/>
          <w:right w:val="nil"/>
          <w:between w:val="nil"/>
        </w:pBdr>
        <w:ind w:left="2880" w:firstLine="720"/>
        <w:jc w:val="both"/>
        <w:rPr>
          <w:rFonts w:ascii="Century" w:hAnsi="Century"/>
          <w:color w:val="000000"/>
          <w:sz w:val="28"/>
          <w:szCs w:val="28"/>
        </w:rPr>
      </w:pPr>
      <w:r w:rsidRPr="000458A7">
        <w:rPr>
          <w:rFonts w:ascii="Century" w:hAnsi="Century"/>
          <w:color w:val="000000"/>
          <w:sz w:val="28"/>
          <w:szCs w:val="28"/>
        </w:rPr>
        <w:t>III. Замовник програми</w:t>
      </w:r>
    </w:p>
    <w:p w14:paraId="31CB31F6" w14:textId="77777777" w:rsidR="00BA5FCD" w:rsidRPr="000458A7" w:rsidRDefault="00BA5FCD" w:rsidP="00BA5FCD">
      <w:pPr>
        <w:pStyle w:val="10"/>
        <w:pBdr>
          <w:top w:val="nil"/>
          <w:left w:val="nil"/>
          <w:bottom w:val="nil"/>
          <w:right w:val="nil"/>
          <w:between w:val="nil"/>
        </w:pBdr>
        <w:jc w:val="both"/>
        <w:rPr>
          <w:rFonts w:ascii="Century" w:hAnsi="Century"/>
          <w:color w:val="000000"/>
          <w:sz w:val="28"/>
          <w:szCs w:val="28"/>
        </w:rPr>
      </w:pPr>
    </w:p>
    <w:p w14:paraId="5B48791E" w14:textId="77777777" w:rsidR="00BA5FCD" w:rsidRPr="000458A7" w:rsidRDefault="00BA5FCD" w:rsidP="00BA5FCD">
      <w:pPr>
        <w:pStyle w:val="10"/>
        <w:pBdr>
          <w:top w:val="nil"/>
          <w:left w:val="nil"/>
          <w:bottom w:val="nil"/>
          <w:right w:val="nil"/>
          <w:between w:val="nil"/>
        </w:pBdr>
        <w:jc w:val="both"/>
        <w:rPr>
          <w:rFonts w:ascii="Century" w:hAnsi="Century"/>
          <w:color w:val="000000"/>
          <w:sz w:val="28"/>
          <w:szCs w:val="28"/>
        </w:rPr>
      </w:pPr>
      <w:r w:rsidRPr="000458A7">
        <w:rPr>
          <w:rFonts w:ascii="Century" w:hAnsi="Century"/>
          <w:color w:val="000000"/>
          <w:sz w:val="28"/>
          <w:szCs w:val="28"/>
        </w:rPr>
        <w:t>Замовником програми виступає Державна установа «Львівський обласний центр контролю та профілактики хвороб МОЗ України».</w:t>
      </w:r>
    </w:p>
    <w:p w14:paraId="065B4A12" w14:textId="77777777" w:rsidR="00BA5FCD" w:rsidRPr="000458A7" w:rsidRDefault="00BA5FCD" w:rsidP="00BA5FCD">
      <w:pPr>
        <w:pStyle w:val="10"/>
        <w:pBdr>
          <w:top w:val="nil"/>
          <w:left w:val="nil"/>
          <w:bottom w:val="nil"/>
          <w:right w:val="nil"/>
          <w:between w:val="nil"/>
        </w:pBdr>
        <w:jc w:val="both"/>
        <w:rPr>
          <w:rFonts w:ascii="Century" w:hAnsi="Century"/>
          <w:color w:val="000000"/>
          <w:sz w:val="28"/>
          <w:szCs w:val="28"/>
        </w:rPr>
      </w:pPr>
    </w:p>
    <w:p w14:paraId="773543AA" w14:textId="77777777" w:rsidR="00BA5FCD" w:rsidRPr="000458A7" w:rsidRDefault="00BA5FCD" w:rsidP="00BA5FCD">
      <w:pPr>
        <w:pStyle w:val="10"/>
        <w:pBdr>
          <w:top w:val="nil"/>
          <w:left w:val="nil"/>
          <w:bottom w:val="nil"/>
          <w:right w:val="nil"/>
          <w:between w:val="nil"/>
        </w:pBdr>
        <w:jc w:val="center"/>
        <w:rPr>
          <w:rFonts w:ascii="Century" w:hAnsi="Century"/>
          <w:color w:val="000000"/>
          <w:sz w:val="28"/>
          <w:szCs w:val="28"/>
        </w:rPr>
      </w:pPr>
      <w:r w:rsidRPr="000458A7">
        <w:rPr>
          <w:rFonts w:ascii="Century" w:hAnsi="Century"/>
          <w:color w:val="000000"/>
          <w:sz w:val="28"/>
          <w:szCs w:val="28"/>
        </w:rPr>
        <w:t>IV. Обгрунтування доцільності її розроблення.</w:t>
      </w:r>
    </w:p>
    <w:p w14:paraId="5171DAA0" w14:textId="77777777" w:rsidR="00BA5FCD" w:rsidRPr="000458A7" w:rsidRDefault="00BA5FCD" w:rsidP="00BA5FCD">
      <w:pPr>
        <w:pStyle w:val="10"/>
        <w:pBdr>
          <w:top w:val="nil"/>
          <w:left w:val="nil"/>
          <w:bottom w:val="nil"/>
          <w:right w:val="nil"/>
          <w:between w:val="nil"/>
        </w:pBdr>
        <w:jc w:val="both"/>
        <w:rPr>
          <w:rFonts w:ascii="Century" w:hAnsi="Century"/>
          <w:color w:val="000000"/>
          <w:sz w:val="28"/>
          <w:szCs w:val="28"/>
        </w:rPr>
      </w:pPr>
    </w:p>
    <w:p w14:paraId="17DD0E5C"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rPr>
      </w:pPr>
      <w:r w:rsidRPr="000458A7">
        <w:rPr>
          <w:rFonts w:ascii="Century" w:hAnsi="Century"/>
          <w:color w:val="000000"/>
          <w:sz w:val="28"/>
          <w:szCs w:val="28"/>
        </w:rPr>
        <w:t xml:space="preserve">Державна установа «Львівський обласний центр контролю та профілактики хвороб МОЗ України» є санітарно-профілактичним закладом охорони здоров’я, що заснований на державній власності та належить до сфери управління Міністерства охорони здоров’я України. Центр утворений з метою виконання завдань у сферах забезпечення санітарного та епідемічного благополуччя населення, захисту населення від інфекційних хвороб, попередження та профілактики неінфекційних захворювань, біологічної безпеки та біологічного захисту, епідеміологічного нагляду (спостереження), імунопрофілактики, промоції здорового способу життя та запобігання факторам ризику, боротьби із стійкістю до протимікробних препаратів, реагування на небезпеки для здоров’я та надзвичайні стани в сфері охорони здоров’я, у межах, визначених Статутом. Ознаками неблагополучної епідемічної ситуації є реєстрація спалахів інфекційних хвороб. </w:t>
      </w:r>
    </w:p>
    <w:p w14:paraId="167C97EC"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rPr>
      </w:pPr>
      <w:r w:rsidRPr="000458A7">
        <w:rPr>
          <w:rFonts w:ascii="Century" w:hAnsi="Century"/>
          <w:color w:val="000000"/>
          <w:sz w:val="28"/>
          <w:szCs w:val="28"/>
        </w:rPr>
        <w:t>За 12 місяців 2024</w:t>
      </w:r>
      <w:r w:rsidRPr="000458A7">
        <w:rPr>
          <w:rFonts w:ascii="Century" w:hAnsi="Century"/>
          <w:b/>
          <w:color w:val="000000"/>
          <w:sz w:val="28"/>
          <w:szCs w:val="28"/>
        </w:rPr>
        <w:t> </w:t>
      </w:r>
      <w:r w:rsidRPr="000458A7">
        <w:rPr>
          <w:rFonts w:ascii="Century" w:hAnsi="Century"/>
          <w:color w:val="000000"/>
          <w:sz w:val="28"/>
          <w:szCs w:val="28"/>
        </w:rPr>
        <w:t>року було зареєстровано 476 632 випадки ГРВІ (19 377,15 на 100 тисяч населення) проти 413 861 випадку (16 825,24 на 100 тисяч населення) в аналогічному періоді 2023 року, ріст на 15,17% (на 62 771 випадок). Питома вага захворілих дітей – 48,38% (230 605 випадків), дорослих – 51,62% (246 027 випадків). Перевищення середньообласного показника захворюваності реєструється в Львівському районі на 25,16%.</w:t>
      </w:r>
    </w:p>
    <w:p w14:paraId="44DCEA90" w14:textId="77777777" w:rsidR="00BA5FCD" w:rsidRPr="000458A7" w:rsidRDefault="00BA5FCD" w:rsidP="00BA5FCD">
      <w:pPr>
        <w:pStyle w:val="10"/>
        <w:tabs>
          <w:tab w:val="left" w:pos="0"/>
        </w:tabs>
        <w:spacing w:line="254" w:lineRule="auto"/>
        <w:jc w:val="both"/>
        <w:rPr>
          <w:rFonts w:ascii="Century" w:hAnsi="Century"/>
          <w:sz w:val="28"/>
          <w:szCs w:val="28"/>
        </w:rPr>
      </w:pPr>
      <w:r w:rsidRPr="000458A7">
        <w:rPr>
          <w:rFonts w:ascii="Century" w:hAnsi="Century"/>
          <w:color w:val="000000"/>
          <w:sz w:val="28"/>
          <w:szCs w:val="28"/>
        </w:rPr>
        <w:tab/>
        <w:t xml:space="preserve">За 12 місяців 2024 року зареєстровано 798 випадків грипу (32,44 на 100 тисяч населення) проти 349 випадків (14,19 на 100 тисяч населення) за аналогічний період 2023 року, ріст в 2,29 разів (на 449 </w:t>
      </w:r>
      <w:r w:rsidRPr="000458A7">
        <w:rPr>
          <w:rFonts w:ascii="Century" w:hAnsi="Century"/>
          <w:color w:val="000000"/>
          <w:sz w:val="28"/>
          <w:szCs w:val="28"/>
        </w:rPr>
        <w:lastRenderedPageBreak/>
        <w:t xml:space="preserve">випадків). В структурі захворюваності переважають </w:t>
      </w:r>
      <w:r w:rsidRPr="000458A7">
        <w:rPr>
          <w:rFonts w:ascii="Century" w:hAnsi="Century"/>
          <w:color w:val="000000"/>
          <w:sz w:val="28"/>
          <w:szCs w:val="28"/>
          <w:highlight w:val="white"/>
        </w:rPr>
        <w:t xml:space="preserve">діти - 63,66% (508 випадків), </w:t>
      </w:r>
      <w:r w:rsidRPr="000458A7">
        <w:rPr>
          <w:rFonts w:ascii="Century" w:hAnsi="Century"/>
          <w:color w:val="000000"/>
          <w:sz w:val="28"/>
          <w:szCs w:val="28"/>
        </w:rPr>
        <w:t xml:space="preserve">дорослі становлять 36,34% (290 випадків). </w:t>
      </w:r>
    </w:p>
    <w:p w14:paraId="6A1F6822"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rPr>
      </w:pPr>
      <w:r w:rsidRPr="000458A7">
        <w:rPr>
          <w:rFonts w:ascii="Century" w:hAnsi="Century"/>
          <w:color w:val="000000"/>
          <w:sz w:val="28"/>
          <w:szCs w:val="28"/>
        </w:rPr>
        <w:t>Перевищення середньообласного показника реєструється у Львівському (на 66,65%) районі.</w:t>
      </w:r>
    </w:p>
    <w:p w14:paraId="51EAC7AD"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rPr>
      </w:pPr>
      <w:r w:rsidRPr="000458A7">
        <w:rPr>
          <w:rFonts w:ascii="Century" w:hAnsi="Century"/>
          <w:color w:val="000000"/>
          <w:sz w:val="28"/>
          <w:szCs w:val="28"/>
        </w:rPr>
        <w:t>За 2024 рік зареєстровано 10 випадків кору (0,41 на 100 тисяч населення) проти 7 випадків (0,28 на 100 тисяч населення) за аналогічний період 2023 року, ріст на 42,9% (на 3 випадки). Випадки кору реєструвалися в 2-х районах Львівській області – Стрийському (0,63 на 100 тисяч населення, 2 випадки) та Львівському (0,58 на 100 тисяч населення, 8 випадків). Зареєстровано 3 спалахи кору: 2 - в Львівському районі.</w:t>
      </w:r>
    </w:p>
    <w:p w14:paraId="36FB2432"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rPr>
      </w:pPr>
      <w:r w:rsidRPr="000458A7">
        <w:rPr>
          <w:rFonts w:ascii="Century" w:hAnsi="Century"/>
          <w:color w:val="000000"/>
          <w:sz w:val="28"/>
          <w:szCs w:val="28"/>
        </w:rPr>
        <w:t>За 2024 рік зареєстровано 14 випадків епідемічного паротиту (0,57 на 100 тисяч населення) проти 31 випадку (1,26 на 100 тисяч населення) в аналогічному періоді 2023 року – зниження в 2,2 рази (на 17 випадків). Випадки зареєстровані в 3 районах Львівської області: Львівському – 9 (0,79 на 100 тисяч населення).</w:t>
      </w:r>
    </w:p>
    <w:p w14:paraId="5BA85EAA"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rPr>
      </w:pPr>
      <w:r w:rsidRPr="000458A7">
        <w:rPr>
          <w:rFonts w:ascii="Century" w:hAnsi="Century"/>
          <w:color w:val="000000"/>
          <w:sz w:val="28"/>
          <w:szCs w:val="28"/>
        </w:rPr>
        <w:t>За 12 місяців 2024</w:t>
      </w:r>
      <w:r w:rsidRPr="000458A7">
        <w:rPr>
          <w:rFonts w:ascii="Century" w:hAnsi="Century"/>
          <w:b/>
          <w:color w:val="000000"/>
          <w:sz w:val="28"/>
          <w:szCs w:val="28"/>
        </w:rPr>
        <w:t> </w:t>
      </w:r>
      <w:r w:rsidRPr="000458A7">
        <w:rPr>
          <w:rFonts w:ascii="Century" w:hAnsi="Century"/>
          <w:color w:val="000000"/>
          <w:sz w:val="28"/>
          <w:szCs w:val="28"/>
        </w:rPr>
        <w:t>року зареєстровано 11 випадків менінгококової інфекції (0,45 на 100 тисяч населення) проти 19 випадків (0,77 на 100 тисяч населення) за аналогічний період 2023 року. Реєструється зниження захворюваності на 42,11% (на 8 випадків) Впродовж 2024 року випадки реєструвались у Львівському - 7 випадків.</w:t>
      </w:r>
    </w:p>
    <w:p w14:paraId="65448B0E"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rPr>
      </w:pPr>
      <w:r w:rsidRPr="000458A7">
        <w:rPr>
          <w:rFonts w:ascii="Century" w:hAnsi="Century"/>
          <w:color w:val="000000"/>
          <w:sz w:val="28"/>
          <w:szCs w:val="28"/>
          <w:highlight w:val="white"/>
        </w:rPr>
        <w:t>3а 2024 рік</w:t>
      </w:r>
      <w:r w:rsidRPr="000458A7">
        <w:rPr>
          <w:rFonts w:ascii="Century" w:hAnsi="Century"/>
          <w:b/>
          <w:color w:val="000000"/>
          <w:sz w:val="28"/>
          <w:szCs w:val="28"/>
          <w:highlight w:val="white"/>
        </w:rPr>
        <w:t> </w:t>
      </w:r>
      <w:r w:rsidRPr="000458A7">
        <w:rPr>
          <w:rFonts w:ascii="Century" w:hAnsi="Century"/>
          <w:color w:val="000000"/>
          <w:sz w:val="28"/>
          <w:szCs w:val="28"/>
          <w:highlight w:val="white"/>
        </w:rPr>
        <w:t>зареєстровано 669 випадків (26,20 на 100 тисяч населення) захворювань на кашлюк проти 85 випадків (3,46 на 100 тисяч населення) за аналогічний період 2023 року – ріст в 7,87 раз. Випадки захворювання на кашлюк реєструвались в усіх районах Львівської області з перевищенням середньообласного показника в</w:t>
      </w:r>
      <w:r w:rsidRPr="000458A7">
        <w:rPr>
          <w:rFonts w:ascii="Century" w:hAnsi="Century"/>
          <w:b/>
          <w:color w:val="000000"/>
          <w:sz w:val="28"/>
          <w:szCs w:val="28"/>
        </w:rPr>
        <w:t> </w:t>
      </w:r>
      <w:r w:rsidRPr="000458A7">
        <w:rPr>
          <w:rFonts w:ascii="Century" w:hAnsi="Century"/>
          <w:color w:val="000000"/>
          <w:sz w:val="28"/>
          <w:szCs w:val="28"/>
        </w:rPr>
        <w:t xml:space="preserve"> Львівському – 374 випадок (32,98 на 100 тисяч населення) районі.</w:t>
      </w:r>
    </w:p>
    <w:p w14:paraId="11977620"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highlight w:val="white"/>
        </w:rPr>
      </w:pPr>
      <w:r w:rsidRPr="000458A7">
        <w:rPr>
          <w:rFonts w:ascii="Century" w:hAnsi="Century"/>
          <w:color w:val="000000"/>
          <w:sz w:val="28"/>
          <w:szCs w:val="28"/>
          <w:highlight w:val="white"/>
        </w:rPr>
        <w:t>За 2024 рік реєструється ріст захворюваності на вітряну віспу на 80,84% (на 3 122 випадків). Зареєстровано 6 984 випадків (283,93 на 100 тисяч населення) проти 3 862 випадків (157,01 на 100 тисяч населення) за аналогічний період минулого року. Серед дітей до 17 років зареєстровано 6 111 випадків, що становить 87,50%. Захворюваність реєструвалася в усіх районах Львівської області, перевищення середньообласного показника зареєстровано в Львівському районі.</w:t>
      </w:r>
    </w:p>
    <w:p w14:paraId="7A9B5B86" w14:textId="77777777" w:rsidR="00BA5FCD" w:rsidRPr="000458A7" w:rsidRDefault="00BA5FCD" w:rsidP="00BA5FCD">
      <w:pPr>
        <w:pStyle w:val="10"/>
        <w:pBdr>
          <w:top w:val="nil"/>
          <w:left w:val="nil"/>
          <w:bottom w:val="nil"/>
          <w:right w:val="nil"/>
          <w:between w:val="nil"/>
        </w:pBdr>
        <w:tabs>
          <w:tab w:val="left" w:pos="426"/>
        </w:tabs>
        <w:jc w:val="both"/>
        <w:rPr>
          <w:rFonts w:ascii="Century" w:hAnsi="Century"/>
          <w:color w:val="000000"/>
          <w:sz w:val="28"/>
          <w:szCs w:val="28"/>
        </w:rPr>
      </w:pPr>
      <w:r w:rsidRPr="000458A7">
        <w:rPr>
          <w:rFonts w:ascii="Century" w:hAnsi="Century"/>
          <w:color w:val="000000"/>
          <w:sz w:val="28"/>
          <w:szCs w:val="28"/>
        </w:rPr>
        <w:t> </w:t>
      </w:r>
    </w:p>
    <w:p w14:paraId="351322D6" w14:textId="77777777" w:rsidR="00BA5FCD" w:rsidRPr="000458A7" w:rsidRDefault="00BA5FCD" w:rsidP="00BA5FCD">
      <w:pPr>
        <w:pStyle w:val="10"/>
        <w:pBdr>
          <w:top w:val="nil"/>
          <w:left w:val="nil"/>
          <w:bottom w:val="nil"/>
          <w:right w:val="nil"/>
          <w:between w:val="nil"/>
        </w:pBdr>
        <w:tabs>
          <w:tab w:val="left" w:pos="426"/>
        </w:tabs>
        <w:jc w:val="both"/>
        <w:rPr>
          <w:rFonts w:ascii="Century" w:hAnsi="Century"/>
          <w:color w:val="000000"/>
          <w:sz w:val="28"/>
          <w:szCs w:val="28"/>
        </w:rPr>
      </w:pPr>
      <w:r w:rsidRPr="000458A7">
        <w:rPr>
          <w:rFonts w:ascii="Century" w:hAnsi="Century"/>
          <w:color w:val="000000"/>
          <w:sz w:val="28"/>
          <w:szCs w:val="28"/>
          <w:highlight w:val="white"/>
        </w:rPr>
        <w:t>За 12 місяців 2024</w:t>
      </w:r>
      <w:r w:rsidRPr="000458A7">
        <w:rPr>
          <w:rFonts w:ascii="Century" w:hAnsi="Century"/>
          <w:b/>
          <w:color w:val="000000"/>
          <w:sz w:val="28"/>
          <w:szCs w:val="28"/>
          <w:highlight w:val="white"/>
        </w:rPr>
        <w:t> </w:t>
      </w:r>
      <w:r w:rsidRPr="000458A7">
        <w:rPr>
          <w:rFonts w:ascii="Century" w:hAnsi="Century"/>
          <w:color w:val="000000"/>
          <w:sz w:val="28"/>
          <w:szCs w:val="28"/>
          <w:highlight w:val="white"/>
        </w:rPr>
        <w:t>року зареєстровано 30 випадків лептоспірозу (1,22 на 100 тисяч населення) проти 28 випадків (1,14 на 100 тисяч населення) за аналогічний період 2023 року - ріст захворюваності на 7,1% (на 2 випадки).</w:t>
      </w:r>
    </w:p>
    <w:p w14:paraId="3A2C28A9"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highlight w:val="white"/>
        </w:rPr>
      </w:pPr>
    </w:p>
    <w:p w14:paraId="4B20A8B8"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rPr>
      </w:pPr>
      <w:r w:rsidRPr="000458A7">
        <w:rPr>
          <w:rFonts w:ascii="Century" w:hAnsi="Century"/>
          <w:color w:val="000000"/>
          <w:sz w:val="28"/>
          <w:szCs w:val="28"/>
        </w:rPr>
        <w:t xml:space="preserve">За 2024 рік реєструється ріст захворюваності скарлатиною на 13,94%. Зареєстровано 924 випадки (37,56 на 100 тисяч населення) проти 811 випадків (32,97 на 100 тисяч населення) за аналогічний </w:t>
      </w:r>
      <w:r w:rsidRPr="000458A7">
        <w:rPr>
          <w:rFonts w:ascii="Century" w:hAnsi="Century"/>
          <w:color w:val="000000"/>
          <w:sz w:val="28"/>
          <w:szCs w:val="28"/>
        </w:rPr>
        <w:lastRenderedPageBreak/>
        <w:t>період минулого року. Серед дітей до 17 років зареєстровано 896 випадків, що становить 96,97%.</w:t>
      </w:r>
    </w:p>
    <w:p w14:paraId="3EF58611" w14:textId="77777777" w:rsidR="00BA5FCD" w:rsidRPr="000458A7" w:rsidRDefault="00BA5FCD" w:rsidP="00BA5FCD">
      <w:pPr>
        <w:pStyle w:val="10"/>
        <w:jc w:val="both"/>
        <w:rPr>
          <w:rFonts w:ascii="Century" w:hAnsi="Century"/>
          <w:color w:val="000000"/>
          <w:sz w:val="28"/>
          <w:szCs w:val="28"/>
        </w:rPr>
      </w:pPr>
      <w:r w:rsidRPr="000458A7">
        <w:rPr>
          <w:rFonts w:ascii="Century" w:hAnsi="Century"/>
          <w:sz w:val="28"/>
          <w:szCs w:val="28"/>
        </w:rPr>
        <w:t> </w:t>
      </w:r>
      <w:r w:rsidRPr="000458A7">
        <w:rPr>
          <w:rFonts w:ascii="Century" w:hAnsi="Century"/>
          <w:color w:val="000000"/>
          <w:sz w:val="28"/>
          <w:szCs w:val="28"/>
        </w:rPr>
        <w:t>За 2024 рік, в порівнянні з аналогічним періодом 2023 року, захворюваність на туберкульоз органів дихання знизилась на 19,43% (на 254 випадки). Зареєстровано 1053 випадки (42,81 на 100 тисяч населення) проти 1307 випадків (53,14 на 100 тисяч населення) за аналогічний період 2023 року. Випадки туберкульозу органів дихання реєструвалися в усіх районах Львівщини з перевищенням середньообласного показника на 18,03% у Львівському районі.</w:t>
      </w:r>
    </w:p>
    <w:p w14:paraId="6C25113D" w14:textId="77777777" w:rsidR="00BA5FCD" w:rsidRPr="000458A7" w:rsidRDefault="00BA5FCD" w:rsidP="00BA5FCD">
      <w:pPr>
        <w:pStyle w:val="10"/>
        <w:ind w:firstLine="720"/>
        <w:jc w:val="both"/>
        <w:rPr>
          <w:rFonts w:ascii="Century" w:hAnsi="Century"/>
          <w:sz w:val="28"/>
          <w:szCs w:val="28"/>
        </w:rPr>
      </w:pPr>
      <w:r w:rsidRPr="000458A7">
        <w:rPr>
          <w:rFonts w:ascii="Century" w:hAnsi="Century"/>
          <w:color w:val="000000"/>
          <w:sz w:val="28"/>
          <w:szCs w:val="28"/>
        </w:rPr>
        <w:t>У 2024 році захворюваність гострими кишковими інфекціями знизилась на 7,76% в порівнянні з 2023 роком, зареєстровано 5 603 випадки ГКІ (227,78 на 100 тисяч населення) проти 6 074 випадків (246,93 на 100 тисяч населення) у  2023 році. Питома вага захворілих на ГКІ дітей до 17 років склала 65,89%.</w:t>
      </w:r>
    </w:p>
    <w:p w14:paraId="651353E8" w14:textId="77777777" w:rsidR="00BA5FCD" w:rsidRPr="000458A7" w:rsidRDefault="00BA5FCD" w:rsidP="00BA5FCD">
      <w:pPr>
        <w:pStyle w:val="10"/>
        <w:jc w:val="both"/>
        <w:rPr>
          <w:rFonts w:ascii="Century" w:hAnsi="Century"/>
          <w:color w:val="000000"/>
          <w:sz w:val="28"/>
          <w:szCs w:val="28"/>
        </w:rPr>
      </w:pPr>
      <w:r w:rsidRPr="000458A7">
        <w:rPr>
          <w:rFonts w:ascii="Century" w:hAnsi="Century"/>
          <w:color w:val="000000"/>
          <w:sz w:val="28"/>
          <w:szCs w:val="28"/>
        </w:rPr>
        <w:t>У сумі захворюваності ГКІ гастроентероколіти встановленої етіології склали 35,50% (1 989 випадків), гастроентероколіти невстановленої етіології – 61,36% (3 438 випадків), шигельози – 0,14% (8 випадків), сальмонельози – 3,0% (168 випадків).</w:t>
      </w:r>
    </w:p>
    <w:p w14:paraId="3186EA23"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У 2024 році спостерігається зниження рівня захворюваність на сальмонельоз на 23,98%. Зареєстровано 168 випадків (6,83 на 100 тисяч населення) проти 221 випадку (8,98 на 100 тисяч населення) у 2023 році. Питома вага дітей до 17 років склала 42,26%.</w:t>
      </w:r>
    </w:p>
    <w:p w14:paraId="1FD1080D"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2024 році спостерігається збільшення рівня захворюваності на вірусний гепатит В на 45,8% (на 11 випадків). Зареєстровано 35 випадків (1,42 на 100 тисяч населення) проти 24 випадків (0,98 на 100 тисяч населення) у 2023 році. Питома вага дітей до 17 років склала 25,71% (9 випадків).</w:t>
      </w:r>
    </w:p>
    <w:p w14:paraId="312E8B34"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Захворюваність реєструвалася в 4 районах: Львівському – 20 випадків (ОТГ м. Львова – 17, Городоцькій ОТГ – 3).</w:t>
      </w:r>
    </w:p>
    <w:p w14:paraId="619F115F" w14:textId="77777777" w:rsidR="00BA5FCD" w:rsidRPr="000458A7" w:rsidRDefault="00BA5FCD" w:rsidP="00BA5FCD">
      <w:pPr>
        <w:pStyle w:val="10"/>
        <w:numPr>
          <w:ilvl w:val="0"/>
          <w:numId w:val="2"/>
        </w:numPr>
        <w:jc w:val="both"/>
        <w:rPr>
          <w:rFonts w:ascii="Century" w:hAnsi="Century"/>
          <w:sz w:val="28"/>
          <w:szCs w:val="28"/>
        </w:rPr>
      </w:pPr>
      <w:r w:rsidRPr="000458A7">
        <w:rPr>
          <w:rFonts w:ascii="Century" w:hAnsi="Century"/>
          <w:sz w:val="28"/>
          <w:szCs w:val="28"/>
        </w:rPr>
        <w:t>За 2024 рік загальна кількість гельмінтозів складає 3050 випадків (124 на 100 тисяч населення) проти 4001  випадку (162,66 на 100 тисяч населення) за аналогічний період 2023 року. Спостерігається зниження загальної паразитарної захворюваності на 23,77% (на 951 випадок а саме (рис. 33):</w:t>
      </w:r>
    </w:p>
    <w:p w14:paraId="2E6A4E4B"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w:t>
      </w:r>
      <w:r w:rsidRPr="000458A7">
        <w:rPr>
          <w:rFonts w:ascii="Century" w:hAnsi="Century"/>
          <w:sz w:val="28"/>
          <w:szCs w:val="28"/>
        </w:rPr>
        <w:tab/>
        <w:t>2490 випадків аскаридозу (101,23 на 100 тисяч населення) проти 3290 випадків (133,75 на 100 тисяч населення) за аналогічний період 2023 року, зниження на 24,32 % (на 800 випадків);</w:t>
      </w:r>
    </w:p>
    <w:p w14:paraId="3F4A527C"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w:t>
      </w:r>
      <w:r w:rsidRPr="000458A7">
        <w:rPr>
          <w:rFonts w:ascii="Century" w:hAnsi="Century"/>
          <w:sz w:val="28"/>
          <w:szCs w:val="28"/>
        </w:rPr>
        <w:tab/>
        <w:t xml:space="preserve">479 випадків ентеробіозу (19,47 на 100 тисяч населення) проти 590 випадків (23,99 на 100 тисяч населення) за аналогічний період 2023 року, зниження на 18,81 % (на 111 випадків); </w:t>
      </w:r>
    </w:p>
    <w:p w14:paraId="214B4494"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w:t>
      </w:r>
      <w:r w:rsidRPr="000458A7">
        <w:rPr>
          <w:rFonts w:ascii="Century" w:hAnsi="Century"/>
          <w:sz w:val="28"/>
          <w:szCs w:val="28"/>
        </w:rPr>
        <w:tab/>
        <w:t>39 випадків трихоцефальозу (1,59 на 100 тисяч населення) проти 27 випадків (10,98 на 100 тисяч населення) за аналогічний період 2023 року, ріст на 44,44 % (на 12 випадків);</w:t>
      </w:r>
    </w:p>
    <w:p w14:paraId="5F9299F6"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lastRenderedPageBreak/>
        <w:t>-</w:t>
      </w:r>
      <w:r w:rsidRPr="000458A7">
        <w:rPr>
          <w:rFonts w:ascii="Century" w:hAnsi="Century"/>
          <w:sz w:val="28"/>
          <w:szCs w:val="28"/>
        </w:rPr>
        <w:tab/>
        <w:t>8 випадків токсокарозу (0,33 на 100 тисяч населення) проти 4 випадків (0,16 на 100 тисяч населення) за аналогічний період 2023 року, ріст в 2 рази (на 4 випадки);</w:t>
      </w:r>
    </w:p>
    <w:p w14:paraId="1629550D"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w:t>
      </w:r>
      <w:r w:rsidRPr="000458A7">
        <w:rPr>
          <w:rFonts w:ascii="Century" w:hAnsi="Century"/>
          <w:sz w:val="28"/>
          <w:szCs w:val="28"/>
        </w:rPr>
        <w:tab/>
        <w:t>4 випадки дирофіляріозу (0,16 на 100 тисяч населення),  в аналогічному періоді 2023 року - 3 випадки (0,12 на 100 тисяч населення),ріст на 1 випадок.</w:t>
      </w:r>
      <w:r w:rsidRPr="000458A7">
        <w:rPr>
          <w:rFonts w:ascii="Century" w:hAnsi="Century"/>
          <w:sz w:val="28"/>
          <w:szCs w:val="28"/>
        </w:rPr>
        <w:tab/>
      </w:r>
    </w:p>
    <w:p w14:paraId="4AB08FAA"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- 2 випадки ехінококозу печінки (0,08 на 100 тисяч населення) проти 5 випадків (2,03 на 100 тисяч населення) за аналогічний період 2023 року, зниження на 3 випадки.</w:t>
      </w:r>
    </w:p>
    <w:p w14:paraId="72845295" w14:textId="77777777" w:rsidR="00BA5FCD" w:rsidRPr="000458A7" w:rsidRDefault="00BA5FCD" w:rsidP="00BA5FCD">
      <w:pPr>
        <w:pStyle w:val="10"/>
        <w:jc w:val="both"/>
        <w:rPr>
          <w:rFonts w:ascii="Century" w:hAnsi="Century"/>
          <w:sz w:val="28"/>
          <w:szCs w:val="28"/>
        </w:rPr>
      </w:pPr>
    </w:p>
    <w:p w14:paraId="5961188F" w14:textId="77777777" w:rsidR="00BA5FCD" w:rsidRPr="000458A7" w:rsidRDefault="00BA5FCD" w:rsidP="00BA5FCD">
      <w:pPr>
        <w:pStyle w:val="10"/>
        <w:jc w:val="both"/>
        <w:rPr>
          <w:rFonts w:ascii="Century" w:hAnsi="Century"/>
          <w:sz w:val="28"/>
          <w:szCs w:val="28"/>
        </w:rPr>
      </w:pPr>
      <w:r w:rsidRPr="000458A7">
        <w:rPr>
          <w:rFonts w:ascii="Century" w:hAnsi="Century"/>
          <w:b/>
          <w:sz w:val="28"/>
          <w:szCs w:val="28"/>
        </w:rPr>
        <w:t>Впродовж  грудня  2024 року</w:t>
      </w:r>
      <w:r w:rsidRPr="000458A7">
        <w:rPr>
          <w:rFonts w:ascii="Century" w:hAnsi="Century"/>
          <w:sz w:val="28"/>
          <w:szCs w:val="28"/>
        </w:rPr>
        <w:t xml:space="preserve"> за епідпоказами в осередках ГКІ  бактеріологічним методом досліджено:</w:t>
      </w:r>
    </w:p>
    <w:p w14:paraId="7CF81EA8" w14:textId="77777777" w:rsidR="00BA5FCD" w:rsidRPr="000458A7" w:rsidRDefault="00BA5FCD" w:rsidP="00BA5FCD">
      <w:pPr>
        <w:pStyle w:val="10"/>
        <w:jc w:val="both"/>
        <w:rPr>
          <w:rFonts w:ascii="Century" w:hAnsi="Century"/>
          <w:sz w:val="28"/>
          <w:szCs w:val="28"/>
        </w:rPr>
      </w:pPr>
      <w:r w:rsidRPr="000458A7">
        <w:rPr>
          <w:rFonts w:ascii="Century" w:hAnsi="Century"/>
          <w:b/>
          <w:sz w:val="28"/>
          <w:szCs w:val="28"/>
        </w:rPr>
        <w:t xml:space="preserve">- </w:t>
      </w:r>
      <w:r w:rsidRPr="000458A7">
        <w:rPr>
          <w:rFonts w:ascii="Century" w:hAnsi="Century"/>
          <w:sz w:val="28"/>
          <w:szCs w:val="28"/>
        </w:rPr>
        <w:t xml:space="preserve">води водопровідної з осередків – 37 проби, без відхилень. </w:t>
      </w:r>
    </w:p>
    <w:p w14:paraId="55BD04C5"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ab/>
        <w:t>  - води джерел нецентралізованого водопостачання індивідуального користування – 51 проба, відхилень – 12 (23,5%) у районах: Львівському (у тому числі Городоцька ОТГ).</w:t>
      </w:r>
    </w:p>
    <w:p w14:paraId="4F6CEF94"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     - харчових продуктів з осередків – 217 зразків, відхилень – 31 (14,2%).  Виділена патогенна та умовно-патогенна флора: Enterobacter aerogenes, Enterobacter cloacae, Morganella morgani, Klebsiella pneumoniae, E.coli, Proteus vulgaris, Proteus mirabilis, Citrobacter freundii, Staphylococcus aureus – м’ясні кулінарні вироби, молоко та молокопродукти, салати, яйця курячі,  кондитерські вироби з кремом домашнього приготування у тому числі Городоцька ОТГ).</w:t>
      </w:r>
    </w:p>
    <w:p w14:paraId="212FDDD4"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   - змивів на патогенну та умовно-патогенну флору з осередків – 310, відхилень – 32 (10,3%). Виділена патогенна та умовно-патогенна флора: Staphylococcus aureus, Proteus vulgaris, Proteus mirabilis, Klebsiella pneumoniae, Morganella morgani, Enterobacter aerogenes, Enterobacter cloacae, E.Coli, Citrobacter freundii, БГКП.</w:t>
      </w:r>
    </w:p>
    <w:p w14:paraId="445DD86B"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     Підлягало обстеженню контактних осіб на кишкову групу збудників 57, обстежено – 57 (100%), позитивних результатів не було.</w:t>
      </w:r>
    </w:p>
    <w:p w14:paraId="5F4468DF"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 xml:space="preserve">     </w:t>
      </w:r>
      <w:r w:rsidRPr="000458A7">
        <w:rPr>
          <w:rFonts w:ascii="Century" w:hAnsi="Century"/>
          <w:b/>
          <w:sz w:val="28"/>
          <w:szCs w:val="28"/>
        </w:rPr>
        <w:t xml:space="preserve">- </w:t>
      </w:r>
      <w:r w:rsidRPr="000458A7">
        <w:rPr>
          <w:rFonts w:ascii="Century" w:hAnsi="Century"/>
          <w:sz w:val="28"/>
          <w:szCs w:val="28"/>
        </w:rPr>
        <w:t xml:space="preserve">води водопровідної з осередків  – 497 проб, відхилень – 6 (1,2%), </w:t>
      </w:r>
    </w:p>
    <w:p w14:paraId="5E781158"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   - води джерел нецентралізованого водопостачання індивідуального користування – 740 проб, відхилень – 137 (18,5%) .</w:t>
      </w:r>
    </w:p>
    <w:p w14:paraId="3F3E511C"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 xml:space="preserve">   - харчових продуктів з осередків  – 2898 зразків, відхилень – 520 (17,9%).  Виділена патогенна та умовно-патогенна флора: Enterobacter aerogenes, Enterobacter cloacae, Morganella morganii, Klebsiella pneumoniae, E.coli, Proteus vulgaris, Proteus mirabilis, Citrobacter freundii, Citrobacter intermedius, Staphylococcus aureus, Salmonella typhimurium, Hafnia alvei – м’ясні кулінарні вироби, молоко та молокопродукти, салати, яйця курячі, кондитерські вироби з кремом домашнього приготування. </w:t>
      </w:r>
    </w:p>
    <w:p w14:paraId="54BA677A"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 змивів на патогенну та умовно-патогенну флору з домашніх осередків – 5696, відхилень – 725 (12,7%). Виділено патогенну та умовно-</w:t>
      </w:r>
      <w:r w:rsidRPr="000458A7">
        <w:rPr>
          <w:rFonts w:ascii="Century" w:hAnsi="Century"/>
          <w:sz w:val="28"/>
          <w:szCs w:val="28"/>
        </w:rPr>
        <w:lastRenderedPageBreak/>
        <w:t>патогенну флору: Staphylococcus aureus, Proteus vulgaris, Proteus mirabilis, Morganella morganii, Klebsiella pneumoniae, Enterobacter aerogenes, Enterobacter cloacae, E.Coli, Citrobacter freundii, Citrobacter intermedius, Staphylococcus epidermidis, БГКП.</w:t>
      </w:r>
    </w:p>
    <w:p w14:paraId="0E209807" w14:textId="77777777" w:rsidR="00BA5FCD" w:rsidRPr="000458A7" w:rsidRDefault="00BA5FCD" w:rsidP="00BA5FCD">
      <w:pPr>
        <w:pStyle w:val="10"/>
        <w:jc w:val="both"/>
        <w:rPr>
          <w:rFonts w:ascii="Century" w:hAnsi="Century"/>
          <w:sz w:val="28"/>
          <w:szCs w:val="28"/>
        </w:rPr>
      </w:pPr>
      <w:r w:rsidRPr="000458A7">
        <w:rPr>
          <w:rFonts w:ascii="Century" w:hAnsi="Century"/>
          <w:sz w:val="28"/>
          <w:szCs w:val="28"/>
        </w:rPr>
        <w:t>  Підлягало обстеженню  контактних осіб на кишкову групу збудників 569, обстежено – 569 (100%), позитивних результатів – 2 (0,4%): Salmonella enteritidis (виділена у контактної дитини в осередку ГКІ.</w:t>
      </w:r>
    </w:p>
    <w:p w14:paraId="1374FCD1"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rPr>
      </w:pPr>
      <w:r w:rsidRPr="000458A7">
        <w:rPr>
          <w:rFonts w:ascii="Century" w:hAnsi="Century"/>
          <w:color w:val="000000"/>
          <w:sz w:val="28"/>
          <w:szCs w:val="28"/>
        </w:rPr>
        <w:t xml:space="preserve">Важливу роль у створенні і дотриманні умов санітарно-епідемічного благополуччя має забезпечення населення доброякісною питною водою. Проведений аналіз свідчить, що існують ризики, які можуть мати негативний вплив на епідемічну ситуацію в області та призвести до зростання рівня інфекційної захворюваності та спалахів. У окремих підприємствах водопостачання, в першу чергу, в малих містах, селищах міського типу та при сільських радах відсутні власні лабораторії, а ті, що функціонують при водоканалах не можуть виконувати дослідження в обсязі визначеному санітарними нормами (ДСанПіН 2.2.4.171-10 «Гігієнічні вимоги до води питної призначеної для споживання людиною»). </w:t>
      </w:r>
    </w:p>
    <w:p w14:paraId="0A13A137"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rPr>
      </w:pPr>
      <w:r w:rsidRPr="000458A7">
        <w:rPr>
          <w:rFonts w:ascii="Century" w:hAnsi="Century"/>
          <w:color w:val="000000"/>
          <w:sz w:val="28"/>
          <w:szCs w:val="28"/>
        </w:rPr>
        <w:t>Відповідно до наказу МОЗ України від 27.02.2023 №403 «Про затвердження Порядку проведення посиленого епідеміологічного нагляду за протимікробною резистентністю мікроорганізмів, що спричиняють гнійно-запальні інфекції ран у поранених внаслідок бойових дій»  бактеріологічною лабораторією Львівського обласного центру контролю та профілактики хвороб проводяться бактеріологічні дослідження з визначенням чутливості до антибіотиків вмісту ран у поранених внаслідок бойових дій, які перебувають на лікуванні у визначених закладах охорони здоров’я області. За 2024 рік проведено 3 349 досліджень, виявлено 206 антибіотикорезистентних штамів мікроорганізмів.</w:t>
      </w:r>
    </w:p>
    <w:p w14:paraId="2E1C72CE" w14:textId="77777777" w:rsidR="00BA5FCD" w:rsidRPr="000458A7" w:rsidRDefault="00BA5FCD" w:rsidP="00BA5FCD">
      <w:pPr>
        <w:pStyle w:val="10"/>
        <w:pBdr>
          <w:top w:val="nil"/>
          <w:left w:val="nil"/>
          <w:bottom w:val="nil"/>
          <w:right w:val="nil"/>
          <w:between w:val="nil"/>
        </w:pBdr>
        <w:ind w:firstLine="720"/>
        <w:jc w:val="both"/>
        <w:rPr>
          <w:rFonts w:ascii="Century" w:hAnsi="Century"/>
          <w:color w:val="000000"/>
          <w:sz w:val="28"/>
          <w:szCs w:val="28"/>
        </w:rPr>
      </w:pPr>
      <w:r w:rsidRPr="000458A7">
        <w:rPr>
          <w:rFonts w:ascii="Century" w:hAnsi="Century"/>
          <w:color w:val="000000"/>
          <w:sz w:val="28"/>
          <w:szCs w:val="28"/>
        </w:rPr>
        <w:t>Вимоги до функціонування та оснащення бактеріологічних, паразитологічних та вірусологічних лабораторій передбачені нормативно-правовими документами, що відповідають вимогам ЄС. Є необхідність проводити аналіз та визначати причини виникнення та існування бар’єрів у процесі реалізації заходів щодо стримування розвитку стійкості до протимікробних препаратів на Львівщині. А також брати участь в організації і проведенні заходів щодо стримування розвитку стійкості до протимікробних препаратів на регіональному рівні, національному та міжнародному рівнях.</w:t>
      </w:r>
    </w:p>
    <w:p w14:paraId="146D08AE" w14:textId="77777777" w:rsidR="00BA5FCD" w:rsidRDefault="00BA5FCD" w:rsidP="00BA5FCD">
      <w:pPr>
        <w:pStyle w:val="10"/>
        <w:pBdr>
          <w:top w:val="nil"/>
          <w:left w:val="nil"/>
          <w:bottom w:val="nil"/>
          <w:right w:val="nil"/>
          <w:between w:val="nil"/>
        </w:pBdr>
        <w:jc w:val="both"/>
        <w:rPr>
          <w:rFonts w:ascii="Century" w:hAnsi="Century"/>
          <w:color w:val="000000"/>
          <w:sz w:val="28"/>
          <w:szCs w:val="28"/>
        </w:rPr>
      </w:pPr>
      <w:bookmarkStart w:id="6" w:name="_equ3ic1rjbk1" w:colFirst="0" w:colLast="0"/>
      <w:bookmarkEnd w:id="6"/>
      <w:r w:rsidRPr="000458A7">
        <w:rPr>
          <w:rFonts w:ascii="Century" w:hAnsi="Century"/>
          <w:color w:val="000000"/>
          <w:sz w:val="28"/>
          <w:szCs w:val="28"/>
        </w:rPr>
        <w:t xml:space="preserve">Враховуючи європейський досвід, функціонування оснащеної сучасної мережі бактеріологічних лабораторій, паразитологічної та вірусологічної лабораторії Державної установи «Львівський обласний центр контролю та профілактики хвороб МОЗ України відповідно до </w:t>
      </w:r>
      <w:r w:rsidRPr="000458A7">
        <w:rPr>
          <w:rFonts w:ascii="Century" w:hAnsi="Century"/>
          <w:color w:val="000000"/>
          <w:sz w:val="28"/>
          <w:szCs w:val="28"/>
        </w:rPr>
        <w:lastRenderedPageBreak/>
        <w:t>існуючих нормативно-правових документів а також модернізація сектору дезінфектології дозволять вирішити питання забезпечення санітарно-епідеміологічного благополуччя мешканців через доступність до якісного вірусологічного, паразитологічного та бактеріологічного обстеження, визначення чутливості до антибіотиків та профілактики формування антибіотикорезистентних штамів мікроорганізмів шляхом своєчасного виявлення збудників інфекційних хвороб, у тому числі вмісту ран з визначенням чутливості до антибіотиків.</w:t>
      </w:r>
    </w:p>
    <w:p w14:paraId="0C472A25" w14:textId="77777777" w:rsidR="000458A7" w:rsidRDefault="000458A7" w:rsidP="00BA5FCD">
      <w:pPr>
        <w:pStyle w:val="10"/>
        <w:pBdr>
          <w:top w:val="nil"/>
          <w:left w:val="nil"/>
          <w:bottom w:val="nil"/>
          <w:right w:val="nil"/>
          <w:between w:val="nil"/>
        </w:pBdr>
        <w:jc w:val="both"/>
        <w:rPr>
          <w:rFonts w:ascii="Century" w:hAnsi="Century"/>
          <w:color w:val="000000"/>
          <w:sz w:val="28"/>
          <w:szCs w:val="28"/>
        </w:rPr>
      </w:pPr>
    </w:p>
    <w:p w14:paraId="2D53419A" w14:textId="77777777" w:rsidR="000458A7" w:rsidRDefault="000458A7" w:rsidP="00BA5FCD">
      <w:pPr>
        <w:pStyle w:val="10"/>
        <w:pBdr>
          <w:top w:val="nil"/>
          <w:left w:val="nil"/>
          <w:bottom w:val="nil"/>
          <w:right w:val="nil"/>
          <w:between w:val="nil"/>
        </w:pBdr>
        <w:jc w:val="both"/>
        <w:rPr>
          <w:rFonts w:ascii="Century" w:hAnsi="Century"/>
          <w:color w:val="000000"/>
          <w:sz w:val="28"/>
          <w:szCs w:val="28"/>
        </w:rPr>
      </w:pPr>
    </w:p>
    <w:p w14:paraId="544BE608" w14:textId="77777777" w:rsidR="000458A7" w:rsidRDefault="000458A7" w:rsidP="00BA5FCD">
      <w:pPr>
        <w:pStyle w:val="10"/>
        <w:pBdr>
          <w:top w:val="nil"/>
          <w:left w:val="nil"/>
          <w:bottom w:val="nil"/>
          <w:right w:val="nil"/>
          <w:between w:val="nil"/>
        </w:pBdr>
        <w:jc w:val="both"/>
        <w:rPr>
          <w:rFonts w:ascii="Century" w:hAnsi="Century"/>
          <w:color w:val="000000"/>
          <w:sz w:val="28"/>
          <w:szCs w:val="28"/>
        </w:rPr>
      </w:pPr>
    </w:p>
    <w:p w14:paraId="5B1A78E6" w14:textId="77777777" w:rsidR="000458A7" w:rsidRDefault="000458A7" w:rsidP="00BA5FCD">
      <w:pPr>
        <w:pStyle w:val="10"/>
        <w:pBdr>
          <w:top w:val="nil"/>
          <w:left w:val="nil"/>
          <w:bottom w:val="nil"/>
          <w:right w:val="nil"/>
          <w:between w:val="nil"/>
        </w:pBdr>
        <w:jc w:val="both"/>
        <w:rPr>
          <w:rFonts w:ascii="Century" w:hAnsi="Century"/>
          <w:color w:val="000000"/>
          <w:sz w:val="28"/>
          <w:szCs w:val="28"/>
        </w:rPr>
      </w:pPr>
    </w:p>
    <w:p w14:paraId="1B849B6F" w14:textId="70D0AAD5" w:rsidR="00BA4FFB" w:rsidRDefault="000458A7" w:rsidP="00BA5FCD">
      <w:pPr>
        <w:pStyle w:val="10"/>
        <w:pBdr>
          <w:top w:val="nil"/>
          <w:left w:val="nil"/>
          <w:bottom w:val="nil"/>
          <w:right w:val="nil"/>
          <w:between w:val="nil"/>
        </w:pBdr>
        <w:jc w:val="both"/>
        <w:rPr>
          <w:rFonts w:ascii="Century" w:hAnsi="Century"/>
          <w:b/>
          <w:bCs/>
          <w:color w:val="000000"/>
          <w:sz w:val="28"/>
          <w:szCs w:val="28"/>
        </w:rPr>
      </w:pPr>
      <w:r w:rsidRPr="000458A7">
        <w:rPr>
          <w:rFonts w:ascii="Century" w:hAnsi="Century"/>
          <w:b/>
          <w:bCs/>
          <w:color w:val="000000"/>
          <w:sz w:val="28"/>
          <w:szCs w:val="28"/>
        </w:rPr>
        <w:t xml:space="preserve">Секретар ради </w:t>
      </w:r>
      <w:r w:rsidRPr="000458A7">
        <w:rPr>
          <w:rFonts w:ascii="Century" w:hAnsi="Century"/>
          <w:b/>
          <w:bCs/>
          <w:color w:val="000000"/>
          <w:sz w:val="28"/>
          <w:szCs w:val="28"/>
        </w:rPr>
        <w:tab/>
      </w:r>
      <w:r w:rsidRPr="000458A7">
        <w:rPr>
          <w:rFonts w:ascii="Century" w:hAnsi="Century"/>
          <w:b/>
          <w:bCs/>
          <w:color w:val="000000"/>
          <w:sz w:val="28"/>
          <w:szCs w:val="28"/>
        </w:rPr>
        <w:tab/>
      </w:r>
      <w:r w:rsidRPr="000458A7">
        <w:rPr>
          <w:rFonts w:ascii="Century" w:hAnsi="Century"/>
          <w:b/>
          <w:bCs/>
          <w:color w:val="000000"/>
          <w:sz w:val="28"/>
          <w:szCs w:val="28"/>
        </w:rPr>
        <w:tab/>
      </w:r>
      <w:r w:rsidRPr="000458A7">
        <w:rPr>
          <w:rFonts w:ascii="Century" w:hAnsi="Century"/>
          <w:b/>
          <w:bCs/>
          <w:color w:val="000000"/>
          <w:sz w:val="28"/>
          <w:szCs w:val="28"/>
        </w:rPr>
        <w:tab/>
      </w:r>
      <w:r w:rsidRPr="000458A7">
        <w:rPr>
          <w:rFonts w:ascii="Century" w:hAnsi="Century"/>
          <w:b/>
          <w:bCs/>
          <w:color w:val="000000"/>
          <w:sz w:val="28"/>
          <w:szCs w:val="28"/>
        </w:rPr>
        <w:tab/>
      </w:r>
      <w:r>
        <w:rPr>
          <w:rFonts w:ascii="Century" w:hAnsi="Century"/>
          <w:b/>
          <w:bCs/>
          <w:color w:val="000000"/>
          <w:sz w:val="28"/>
          <w:szCs w:val="28"/>
        </w:rPr>
        <w:tab/>
      </w:r>
      <w:r w:rsidRPr="000458A7">
        <w:rPr>
          <w:rFonts w:ascii="Century" w:hAnsi="Century"/>
          <w:b/>
          <w:bCs/>
          <w:color w:val="000000"/>
          <w:sz w:val="28"/>
          <w:szCs w:val="28"/>
        </w:rPr>
        <w:tab/>
        <w:t>Микола ЛУПІЙ</w:t>
      </w:r>
    </w:p>
    <w:p w14:paraId="10369814" w14:textId="77777777" w:rsidR="00BA4FFB" w:rsidRDefault="00BA4FFB">
      <w:pPr>
        <w:spacing w:after="200" w:line="276" w:lineRule="auto"/>
        <w:rPr>
          <w:rFonts w:ascii="Century" w:hAnsi="Century"/>
          <w:b/>
          <w:bCs/>
          <w:color w:val="000000"/>
          <w:szCs w:val="28"/>
        </w:rPr>
      </w:pPr>
      <w:r>
        <w:rPr>
          <w:rFonts w:ascii="Century" w:hAnsi="Century"/>
          <w:b/>
          <w:bCs/>
          <w:color w:val="000000"/>
          <w:szCs w:val="28"/>
        </w:rPr>
        <w:br w:type="page"/>
      </w:r>
    </w:p>
    <w:p w14:paraId="2E3D54F5" w14:textId="77777777" w:rsidR="00BA4FFB" w:rsidRPr="00323940" w:rsidRDefault="00BA4FFB" w:rsidP="00BA4FFB">
      <w:pPr>
        <w:spacing w:line="240" w:lineRule="auto"/>
        <w:ind w:left="4111"/>
        <w:rPr>
          <w:rFonts w:ascii="Century" w:hAnsi="Century"/>
          <w:b/>
          <w:szCs w:val="28"/>
        </w:rPr>
      </w:pPr>
      <w:r w:rsidRPr="00323940">
        <w:rPr>
          <w:rFonts w:ascii="Century" w:hAnsi="Century"/>
          <w:b/>
          <w:szCs w:val="28"/>
        </w:rPr>
        <w:lastRenderedPageBreak/>
        <w:t xml:space="preserve">Додаток </w:t>
      </w:r>
    </w:p>
    <w:p w14:paraId="18719760" w14:textId="2230BFB4" w:rsidR="00BA4FFB" w:rsidRPr="00BA4FFB" w:rsidRDefault="00BA4FFB" w:rsidP="00BA4FFB">
      <w:pPr>
        <w:spacing w:line="240" w:lineRule="auto"/>
        <w:ind w:left="4111"/>
        <w:rPr>
          <w:rFonts w:ascii="Century" w:hAnsi="Century"/>
          <w:bCs/>
          <w:szCs w:val="28"/>
        </w:rPr>
      </w:pPr>
      <w:r w:rsidRPr="00CC5A51">
        <w:rPr>
          <w:rFonts w:ascii="Century" w:hAnsi="Century"/>
          <w:bCs/>
          <w:szCs w:val="28"/>
        </w:rPr>
        <w:t xml:space="preserve">до </w:t>
      </w:r>
      <w:r>
        <w:rPr>
          <w:rFonts w:ascii="Century" w:hAnsi="Century"/>
          <w:bCs/>
          <w:szCs w:val="28"/>
        </w:rPr>
        <w:t xml:space="preserve">Програми </w:t>
      </w:r>
      <w:r w:rsidRPr="00BA4FFB">
        <w:rPr>
          <w:rFonts w:ascii="Century" w:hAnsi="Century"/>
          <w:bCs/>
          <w:szCs w:val="28"/>
        </w:rPr>
        <w:t>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2025 рік</w:t>
      </w:r>
    </w:p>
    <w:p w14:paraId="733BAFE6" w14:textId="77777777" w:rsidR="00BA4FFB" w:rsidRDefault="00BA4FFB" w:rsidP="00BA4FFB">
      <w:pPr>
        <w:pBdr>
          <w:top w:val="nil"/>
          <w:left w:val="nil"/>
          <w:bottom w:val="nil"/>
          <w:right w:val="nil"/>
          <w:between w:val="nil"/>
        </w:pBdr>
        <w:spacing w:line="240" w:lineRule="auto"/>
        <w:rPr>
          <w:color w:val="000000"/>
          <w:sz w:val="24"/>
        </w:rPr>
      </w:pPr>
    </w:p>
    <w:p w14:paraId="7A48DBF5" w14:textId="77777777" w:rsidR="00BA4FFB" w:rsidRPr="00BA4FFB" w:rsidRDefault="00BA4FFB" w:rsidP="00BA4FFB">
      <w:pPr>
        <w:pBdr>
          <w:top w:val="nil"/>
          <w:left w:val="nil"/>
          <w:bottom w:val="nil"/>
          <w:right w:val="nil"/>
          <w:between w:val="nil"/>
        </w:pBdr>
        <w:spacing w:line="240" w:lineRule="auto"/>
        <w:jc w:val="center"/>
        <w:rPr>
          <w:rFonts w:ascii="Century" w:hAnsi="Century"/>
          <w:b/>
          <w:bCs/>
          <w:color w:val="000000"/>
          <w:szCs w:val="28"/>
        </w:rPr>
      </w:pPr>
      <w:r w:rsidRPr="00BA4FFB">
        <w:rPr>
          <w:rFonts w:ascii="Century" w:hAnsi="Century"/>
          <w:b/>
          <w:bCs/>
          <w:color w:val="000000"/>
          <w:szCs w:val="28"/>
        </w:rPr>
        <w:t>Перелік</w:t>
      </w:r>
    </w:p>
    <w:p w14:paraId="582B4FDF" w14:textId="77777777" w:rsidR="00BA4FFB" w:rsidRPr="00BA4FFB" w:rsidRDefault="00BA4FFB" w:rsidP="00BA4FFB">
      <w:pPr>
        <w:pBdr>
          <w:top w:val="nil"/>
          <w:left w:val="nil"/>
          <w:bottom w:val="nil"/>
          <w:right w:val="nil"/>
          <w:between w:val="nil"/>
        </w:pBdr>
        <w:spacing w:line="240" w:lineRule="auto"/>
        <w:jc w:val="center"/>
        <w:rPr>
          <w:rFonts w:ascii="Century" w:hAnsi="Century"/>
          <w:b/>
          <w:bCs/>
          <w:color w:val="000000"/>
          <w:szCs w:val="28"/>
        </w:rPr>
      </w:pPr>
      <w:r w:rsidRPr="00BA4FFB">
        <w:rPr>
          <w:rFonts w:ascii="Century" w:hAnsi="Century"/>
          <w:b/>
          <w:bCs/>
          <w:color w:val="000000"/>
          <w:szCs w:val="28"/>
        </w:rPr>
        <w:t>Заходів програми 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2025  рік.</w:t>
      </w:r>
    </w:p>
    <w:p w14:paraId="10A4003F" w14:textId="77777777" w:rsidR="00BA4FFB" w:rsidRPr="00BA4FFB" w:rsidRDefault="00BA4FFB" w:rsidP="00BA4FFB">
      <w:pPr>
        <w:pBdr>
          <w:top w:val="nil"/>
          <w:left w:val="nil"/>
          <w:bottom w:val="nil"/>
          <w:right w:val="nil"/>
          <w:between w:val="nil"/>
        </w:pBdr>
        <w:spacing w:line="240" w:lineRule="auto"/>
        <w:jc w:val="center"/>
        <w:rPr>
          <w:rFonts w:ascii="Century" w:hAnsi="Century"/>
          <w:color w:val="000000"/>
          <w:szCs w:val="28"/>
        </w:rPr>
      </w:pPr>
    </w:p>
    <w:p w14:paraId="7EAA2961" w14:textId="537E4330" w:rsidR="00BA4FFB" w:rsidRPr="00BA4FFB" w:rsidRDefault="00BA4FFB" w:rsidP="00BA4FFB">
      <w:pPr>
        <w:pBdr>
          <w:top w:val="nil"/>
          <w:left w:val="nil"/>
          <w:bottom w:val="nil"/>
          <w:right w:val="nil"/>
          <w:between w:val="nil"/>
        </w:pBdr>
        <w:spacing w:line="240" w:lineRule="auto"/>
        <w:rPr>
          <w:rFonts w:ascii="Century" w:hAnsi="Century"/>
          <w:color w:val="000000"/>
          <w:szCs w:val="28"/>
        </w:rPr>
      </w:pPr>
      <w:r w:rsidRPr="00BA4FFB">
        <w:rPr>
          <w:rFonts w:ascii="Century" w:hAnsi="Century"/>
          <w:b/>
          <w:bCs/>
          <w:color w:val="000000"/>
          <w:szCs w:val="28"/>
        </w:rPr>
        <w:t>Назва Замовника</w:t>
      </w:r>
      <w:r w:rsidRPr="00BA4FFB">
        <w:rPr>
          <w:rFonts w:ascii="Century" w:hAnsi="Century"/>
          <w:b/>
          <w:bCs/>
          <w:color w:val="000000"/>
          <w:szCs w:val="28"/>
        </w:rPr>
        <w:t>:</w:t>
      </w:r>
      <w:r w:rsidRPr="00BA4FFB">
        <w:rPr>
          <w:rFonts w:ascii="Century" w:hAnsi="Century"/>
          <w:b/>
          <w:bCs/>
          <w:color w:val="000000"/>
          <w:szCs w:val="28"/>
        </w:rPr>
        <w:t>.</w:t>
      </w:r>
      <w:r w:rsidRPr="00BA4FFB">
        <w:rPr>
          <w:rFonts w:ascii="Century" w:hAnsi="Century"/>
          <w:color w:val="000000"/>
          <w:szCs w:val="28"/>
        </w:rPr>
        <w:t xml:space="preserve"> Державна установа «Львівський обласний центр контролю та профілактики хвороб МОЗ України».</w:t>
      </w:r>
    </w:p>
    <w:p w14:paraId="61026CCA" w14:textId="77777777" w:rsidR="00BA4FFB" w:rsidRPr="00BA4FFB" w:rsidRDefault="00BA4FFB" w:rsidP="00BA4FFB">
      <w:pPr>
        <w:pBdr>
          <w:top w:val="nil"/>
          <w:left w:val="nil"/>
          <w:bottom w:val="nil"/>
          <w:right w:val="nil"/>
          <w:between w:val="nil"/>
        </w:pBdr>
        <w:spacing w:line="240" w:lineRule="auto"/>
        <w:rPr>
          <w:rFonts w:ascii="Century" w:hAnsi="Century"/>
          <w:color w:val="000000"/>
          <w:szCs w:val="28"/>
        </w:rPr>
      </w:pPr>
    </w:p>
    <w:p w14:paraId="7F03F526" w14:textId="24D9D2F2" w:rsidR="00BA4FFB" w:rsidRDefault="00BA4FFB" w:rsidP="00BA4FFB">
      <w:pPr>
        <w:pBdr>
          <w:top w:val="nil"/>
          <w:left w:val="nil"/>
          <w:bottom w:val="nil"/>
          <w:right w:val="nil"/>
          <w:between w:val="nil"/>
        </w:pBdr>
        <w:spacing w:line="240" w:lineRule="auto"/>
        <w:rPr>
          <w:rFonts w:ascii="Century" w:hAnsi="Century"/>
          <w:color w:val="000000"/>
          <w:szCs w:val="28"/>
        </w:rPr>
      </w:pPr>
      <w:r w:rsidRPr="00BA4FFB">
        <w:rPr>
          <w:rFonts w:ascii="Century" w:hAnsi="Century"/>
          <w:b/>
          <w:bCs/>
          <w:color w:val="000000"/>
          <w:szCs w:val="28"/>
        </w:rPr>
        <w:t>Назва програми, коли і ким затверджена</w:t>
      </w:r>
      <w:r w:rsidRPr="00BA4FFB">
        <w:rPr>
          <w:rFonts w:ascii="Century" w:hAnsi="Century"/>
          <w:b/>
          <w:bCs/>
          <w:color w:val="000000"/>
          <w:szCs w:val="28"/>
        </w:rPr>
        <w:t>:</w:t>
      </w:r>
      <w:r w:rsidRPr="00BA4FFB">
        <w:rPr>
          <w:rFonts w:ascii="Century" w:hAnsi="Century"/>
          <w:color w:val="000000"/>
          <w:szCs w:val="28"/>
        </w:rPr>
        <w:t xml:space="preserve"> Програма 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2025  рік.</w:t>
      </w:r>
    </w:p>
    <w:tbl>
      <w:tblPr>
        <w:tblW w:w="9729" w:type="dxa"/>
        <w:tblLook w:val="04A0" w:firstRow="1" w:lastRow="0" w:firstColumn="1" w:lastColumn="0" w:noHBand="0" w:noVBand="1"/>
      </w:tblPr>
      <w:tblGrid>
        <w:gridCol w:w="639"/>
        <w:gridCol w:w="3184"/>
        <w:gridCol w:w="2126"/>
        <w:gridCol w:w="1276"/>
        <w:gridCol w:w="2268"/>
        <w:gridCol w:w="236"/>
      </w:tblGrid>
      <w:tr w:rsidR="00BA4FFB" w:rsidRPr="00BA4FFB" w14:paraId="552CCE35" w14:textId="77777777" w:rsidTr="00BA4FFB">
        <w:trPr>
          <w:gridAfter w:val="1"/>
          <w:wAfter w:w="236" w:type="dxa"/>
          <w:cantSplit/>
          <w:trHeight w:val="20"/>
        </w:trPr>
        <w:tc>
          <w:tcPr>
            <w:tcW w:w="6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345265" w14:textId="77777777" w:rsidR="00BA4FFB" w:rsidRPr="00BA4FFB" w:rsidRDefault="00BA4FFB" w:rsidP="00BA4FFB">
            <w:pPr>
              <w:spacing w:line="240" w:lineRule="auto"/>
              <w:rPr>
                <w:rFonts w:ascii="Century" w:hAnsi="Century" w:cs="Calibri"/>
                <w:b/>
                <w:bCs/>
                <w:color w:val="000000"/>
                <w:szCs w:val="28"/>
              </w:rPr>
            </w:pPr>
            <w:r w:rsidRPr="00BA4FFB">
              <w:rPr>
                <w:rFonts w:ascii="Century" w:hAnsi="Century" w:cs="Calibri"/>
                <w:b/>
                <w:bCs/>
                <w:color w:val="000000"/>
                <w:szCs w:val="28"/>
              </w:rPr>
              <w:t>№ п/п</w:t>
            </w:r>
          </w:p>
        </w:tc>
        <w:tc>
          <w:tcPr>
            <w:tcW w:w="31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49C089" w14:textId="77777777" w:rsidR="00BA4FFB" w:rsidRPr="00BA4FFB" w:rsidRDefault="00BA4FFB" w:rsidP="00BA4FFB">
            <w:pPr>
              <w:spacing w:line="240" w:lineRule="auto"/>
              <w:rPr>
                <w:rFonts w:ascii="Century" w:hAnsi="Century" w:cs="Calibri"/>
                <w:b/>
                <w:bCs/>
                <w:color w:val="000000"/>
                <w:szCs w:val="28"/>
              </w:rPr>
            </w:pPr>
            <w:r w:rsidRPr="00BA4FFB">
              <w:rPr>
                <w:rFonts w:ascii="Century" w:hAnsi="Century" w:cs="Calibri"/>
                <w:b/>
                <w:bCs/>
                <w:color w:val="000000"/>
                <w:szCs w:val="28"/>
              </w:rPr>
              <w:t>Найменування заходу</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6C2B6D" w14:textId="77777777" w:rsidR="00BA4FFB" w:rsidRPr="00BA4FFB" w:rsidRDefault="00BA4FFB" w:rsidP="00BA4FFB">
            <w:pPr>
              <w:spacing w:line="240" w:lineRule="auto"/>
              <w:rPr>
                <w:rFonts w:ascii="Century" w:hAnsi="Century" w:cs="Calibri"/>
                <w:b/>
                <w:bCs/>
                <w:color w:val="000000"/>
                <w:szCs w:val="28"/>
              </w:rPr>
            </w:pPr>
            <w:r w:rsidRPr="00BA4FFB">
              <w:rPr>
                <w:rFonts w:ascii="Century" w:hAnsi="Century" w:cs="Calibri"/>
                <w:b/>
                <w:bCs/>
                <w:color w:val="000000"/>
                <w:szCs w:val="28"/>
              </w:rPr>
              <w:t>Виконавець</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CABE67" w14:textId="77777777" w:rsidR="00BA4FFB" w:rsidRPr="00BA4FFB" w:rsidRDefault="00BA4FFB" w:rsidP="00BA4FFB">
            <w:pPr>
              <w:spacing w:line="240" w:lineRule="auto"/>
              <w:rPr>
                <w:rFonts w:ascii="Century" w:hAnsi="Century" w:cs="Calibri"/>
                <w:b/>
                <w:bCs/>
                <w:color w:val="000000"/>
                <w:szCs w:val="28"/>
              </w:rPr>
            </w:pPr>
            <w:r w:rsidRPr="00BA4FFB">
              <w:rPr>
                <w:rFonts w:ascii="Century" w:hAnsi="Century" w:cs="Calibri"/>
                <w:b/>
                <w:bCs/>
                <w:color w:val="000000"/>
                <w:szCs w:val="28"/>
              </w:rPr>
              <w:t>Період</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F74C09" w14:textId="77777777" w:rsidR="00BA4FFB" w:rsidRPr="00BA4FFB" w:rsidRDefault="00BA4FFB" w:rsidP="00BA4FFB">
            <w:pPr>
              <w:spacing w:line="240" w:lineRule="auto"/>
              <w:rPr>
                <w:rFonts w:ascii="Century" w:hAnsi="Century" w:cs="Calibri"/>
                <w:b/>
                <w:bCs/>
                <w:color w:val="000000"/>
                <w:szCs w:val="28"/>
              </w:rPr>
            </w:pPr>
            <w:r w:rsidRPr="00BA4FFB">
              <w:rPr>
                <w:rFonts w:ascii="Century" w:hAnsi="Century" w:cs="Calibri"/>
                <w:b/>
                <w:bCs/>
                <w:color w:val="000000"/>
                <w:szCs w:val="28"/>
              </w:rPr>
              <w:t>Загальний обсяг фінансування, тис.грн</w:t>
            </w:r>
          </w:p>
        </w:tc>
      </w:tr>
      <w:tr w:rsidR="00BA4FFB" w:rsidRPr="00BA4FFB" w14:paraId="0A0D0048" w14:textId="77777777" w:rsidTr="00BA4FFB">
        <w:trPr>
          <w:gridAfter w:val="1"/>
          <w:wAfter w:w="236" w:type="dxa"/>
          <w:trHeight w:val="20"/>
        </w:trPr>
        <w:tc>
          <w:tcPr>
            <w:tcW w:w="639" w:type="dxa"/>
            <w:vMerge/>
            <w:tcBorders>
              <w:top w:val="single" w:sz="4" w:space="0" w:color="auto"/>
              <w:left w:val="single" w:sz="4" w:space="0" w:color="auto"/>
              <w:bottom w:val="single" w:sz="4" w:space="0" w:color="auto"/>
              <w:right w:val="single" w:sz="4" w:space="0" w:color="auto"/>
            </w:tcBorders>
            <w:vAlign w:val="center"/>
            <w:hideMark/>
          </w:tcPr>
          <w:p w14:paraId="32EFB866" w14:textId="77777777" w:rsidR="00BA4FFB" w:rsidRPr="00BA4FFB" w:rsidRDefault="00BA4FFB" w:rsidP="00BA4FFB">
            <w:pPr>
              <w:spacing w:line="240" w:lineRule="auto"/>
              <w:rPr>
                <w:rFonts w:ascii="Century" w:hAnsi="Century" w:cs="Calibri"/>
                <w:b/>
                <w:bCs/>
                <w:color w:val="000000"/>
                <w:szCs w:val="28"/>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14:paraId="3181DF2C" w14:textId="77777777" w:rsidR="00BA4FFB" w:rsidRPr="00BA4FFB" w:rsidRDefault="00BA4FFB" w:rsidP="00BA4FFB">
            <w:pPr>
              <w:spacing w:line="240" w:lineRule="auto"/>
              <w:rPr>
                <w:rFonts w:ascii="Century" w:hAnsi="Century" w:cs="Calibri"/>
                <w:b/>
                <w:bCs/>
                <w:color w:val="000000"/>
                <w:szCs w:val="2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5E5B64B6" w14:textId="77777777" w:rsidR="00BA4FFB" w:rsidRPr="00BA4FFB" w:rsidRDefault="00BA4FFB" w:rsidP="00BA4FFB">
            <w:pPr>
              <w:spacing w:line="240" w:lineRule="auto"/>
              <w:rPr>
                <w:rFonts w:ascii="Century" w:hAnsi="Century" w:cs="Calibri"/>
                <w:b/>
                <w:bCs/>
                <w:color w:val="000000"/>
                <w:szCs w:val="2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3339020" w14:textId="77777777" w:rsidR="00BA4FFB" w:rsidRPr="00BA4FFB" w:rsidRDefault="00BA4FFB" w:rsidP="00BA4FFB">
            <w:pPr>
              <w:spacing w:line="240" w:lineRule="auto"/>
              <w:rPr>
                <w:rFonts w:ascii="Century" w:hAnsi="Century" w:cs="Calibri"/>
                <w:b/>
                <w:bCs/>
                <w:color w:val="000000"/>
                <w:szCs w:val="28"/>
              </w:rPr>
            </w:pPr>
          </w:p>
        </w:tc>
        <w:tc>
          <w:tcPr>
            <w:tcW w:w="2268" w:type="dxa"/>
            <w:tcBorders>
              <w:top w:val="nil"/>
              <w:left w:val="nil"/>
              <w:bottom w:val="single" w:sz="4" w:space="0" w:color="auto"/>
              <w:right w:val="single" w:sz="4" w:space="0" w:color="auto"/>
            </w:tcBorders>
            <w:shd w:val="clear" w:color="auto" w:fill="auto"/>
            <w:vAlign w:val="center"/>
            <w:hideMark/>
          </w:tcPr>
          <w:p w14:paraId="1C2D1F0D" w14:textId="77777777" w:rsidR="00BA4FFB" w:rsidRPr="00BA4FFB" w:rsidRDefault="00BA4FFB" w:rsidP="00BA4FFB">
            <w:pPr>
              <w:spacing w:line="240" w:lineRule="auto"/>
              <w:rPr>
                <w:rFonts w:ascii="Century" w:hAnsi="Century" w:cs="Calibri"/>
                <w:b/>
                <w:bCs/>
                <w:color w:val="000000"/>
                <w:szCs w:val="28"/>
              </w:rPr>
            </w:pPr>
            <w:r w:rsidRPr="00BA4FFB">
              <w:rPr>
                <w:rFonts w:ascii="Century" w:hAnsi="Century" w:cs="Calibri"/>
                <w:b/>
                <w:bCs/>
                <w:color w:val="000000"/>
                <w:szCs w:val="28"/>
              </w:rPr>
              <w:t>Усього тис.грн</w:t>
            </w:r>
          </w:p>
        </w:tc>
      </w:tr>
      <w:tr w:rsidR="00BA4FFB" w:rsidRPr="00BA4FFB" w14:paraId="05056DCE" w14:textId="77777777" w:rsidTr="00BA4FFB">
        <w:trPr>
          <w:gridAfter w:val="1"/>
          <w:wAfter w:w="236" w:type="dxa"/>
          <w:cantSplit/>
          <w:trHeight w:val="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2FD0735E" w14:textId="77777777" w:rsidR="00BA4FFB" w:rsidRPr="00BA4FFB" w:rsidRDefault="00BA4FFB" w:rsidP="00BA4FFB">
            <w:pPr>
              <w:spacing w:line="240" w:lineRule="auto"/>
              <w:jc w:val="right"/>
              <w:rPr>
                <w:rFonts w:ascii="Century" w:hAnsi="Century" w:cs="Calibri"/>
                <w:b/>
                <w:bCs/>
                <w:color w:val="000000"/>
                <w:sz w:val="24"/>
                <w:u w:val="single"/>
              </w:rPr>
            </w:pPr>
            <w:r w:rsidRPr="00BA4FFB">
              <w:rPr>
                <w:rFonts w:ascii="Century" w:hAnsi="Century" w:cs="Calibri"/>
                <w:b/>
                <w:bCs/>
                <w:color w:val="000000"/>
                <w:sz w:val="24"/>
                <w:u w:val="single"/>
              </w:rPr>
              <w:t>1</w:t>
            </w:r>
          </w:p>
        </w:tc>
        <w:tc>
          <w:tcPr>
            <w:tcW w:w="3184" w:type="dxa"/>
            <w:tcBorders>
              <w:top w:val="nil"/>
              <w:left w:val="nil"/>
              <w:bottom w:val="single" w:sz="4" w:space="0" w:color="auto"/>
              <w:right w:val="single" w:sz="4" w:space="0" w:color="auto"/>
            </w:tcBorders>
            <w:shd w:val="clear" w:color="auto" w:fill="auto"/>
            <w:vAlign w:val="center"/>
            <w:hideMark/>
          </w:tcPr>
          <w:p w14:paraId="6AE6B33D" w14:textId="77777777" w:rsidR="00BA4FFB" w:rsidRPr="00BA4FFB" w:rsidRDefault="00BA4FFB" w:rsidP="00BA4FFB">
            <w:pPr>
              <w:spacing w:line="240" w:lineRule="auto"/>
              <w:rPr>
                <w:rFonts w:ascii="Century" w:hAnsi="Century" w:cs="Calibri"/>
                <w:b/>
                <w:bCs/>
                <w:color w:val="000000"/>
                <w:sz w:val="24"/>
              </w:rPr>
            </w:pPr>
            <w:r w:rsidRPr="00BA4FFB">
              <w:rPr>
                <w:rFonts w:ascii="Century" w:hAnsi="Century" w:cs="Calibri"/>
                <w:b/>
                <w:bCs/>
                <w:color w:val="000000"/>
                <w:sz w:val="24"/>
              </w:rPr>
              <w:t>Роботи з монтажу та введення в експлуатацію свердловини</w:t>
            </w:r>
          </w:p>
        </w:tc>
        <w:tc>
          <w:tcPr>
            <w:tcW w:w="2126" w:type="dxa"/>
            <w:tcBorders>
              <w:top w:val="nil"/>
              <w:left w:val="nil"/>
              <w:bottom w:val="single" w:sz="4" w:space="0" w:color="auto"/>
              <w:right w:val="single" w:sz="4" w:space="0" w:color="auto"/>
            </w:tcBorders>
            <w:shd w:val="clear" w:color="auto" w:fill="auto"/>
            <w:vAlign w:val="center"/>
            <w:hideMark/>
          </w:tcPr>
          <w:p w14:paraId="2F77200D"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tcBorders>
              <w:top w:val="nil"/>
              <w:left w:val="nil"/>
              <w:bottom w:val="single" w:sz="4" w:space="0" w:color="auto"/>
              <w:right w:val="single" w:sz="4" w:space="0" w:color="auto"/>
            </w:tcBorders>
            <w:shd w:val="clear" w:color="auto" w:fill="auto"/>
            <w:vAlign w:val="center"/>
            <w:hideMark/>
          </w:tcPr>
          <w:p w14:paraId="081553FD"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tcBorders>
              <w:top w:val="nil"/>
              <w:left w:val="nil"/>
              <w:bottom w:val="single" w:sz="4" w:space="0" w:color="auto"/>
              <w:right w:val="single" w:sz="4" w:space="0" w:color="auto"/>
            </w:tcBorders>
            <w:shd w:val="clear" w:color="auto" w:fill="auto"/>
            <w:vAlign w:val="center"/>
            <w:hideMark/>
          </w:tcPr>
          <w:p w14:paraId="3543CC67"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200 тис грн</w:t>
            </w:r>
          </w:p>
        </w:tc>
      </w:tr>
      <w:tr w:rsidR="00BA4FFB" w:rsidRPr="00BA4FFB" w14:paraId="0E271D4D" w14:textId="77777777" w:rsidTr="00BA4FFB">
        <w:trPr>
          <w:gridAfter w:val="1"/>
          <w:wAfter w:w="236" w:type="dxa"/>
          <w:cantSplit/>
          <w:trHeight w:val="464"/>
        </w:trPr>
        <w:tc>
          <w:tcPr>
            <w:tcW w:w="639" w:type="dxa"/>
            <w:vMerge w:val="restart"/>
            <w:tcBorders>
              <w:top w:val="nil"/>
              <w:left w:val="single" w:sz="4" w:space="0" w:color="auto"/>
              <w:bottom w:val="single" w:sz="4" w:space="0" w:color="auto"/>
              <w:right w:val="single" w:sz="4" w:space="0" w:color="auto"/>
            </w:tcBorders>
            <w:shd w:val="clear" w:color="auto" w:fill="auto"/>
            <w:vAlign w:val="center"/>
            <w:hideMark/>
          </w:tcPr>
          <w:p w14:paraId="3C5217E8"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2.</w:t>
            </w:r>
          </w:p>
        </w:tc>
        <w:tc>
          <w:tcPr>
            <w:tcW w:w="3184" w:type="dxa"/>
            <w:vMerge w:val="restart"/>
            <w:tcBorders>
              <w:top w:val="nil"/>
              <w:left w:val="single" w:sz="4" w:space="0" w:color="auto"/>
              <w:bottom w:val="single" w:sz="4" w:space="0" w:color="auto"/>
              <w:right w:val="single" w:sz="4" w:space="0" w:color="auto"/>
            </w:tcBorders>
            <w:shd w:val="clear" w:color="auto" w:fill="auto"/>
            <w:vAlign w:val="center"/>
            <w:hideMark/>
          </w:tcPr>
          <w:p w14:paraId="346BEF3B"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Придбання глибинного насоса</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14:paraId="2BC57D02" w14:textId="2FF43A7F"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52596FA5"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4C1CF671"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70 тис грн</w:t>
            </w:r>
          </w:p>
        </w:tc>
      </w:tr>
      <w:tr w:rsidR="00BA4FFB" w:rsidRPr="00BA4FFB" w14:paraId="065043F5" w14:textId="77777777" w:rsidTr="00BA4FFB">
        <w:trPr>
          <w:trHeight w:val="20"/>
        </w:trPr>
        <w:tc>
          <w:tcPr>
            <w:tcW w:w="639" w:type="dxa"/>
            <w:vMerge/>
            <w:tcBorders>
              <w:top w:val="nil"/>
              <w:left w:val="single" w:sz="4" w:space="0" w:color="auto"/>
              <w:bottom w:val="single" w:sz="4" w:space="0" w:color="auto"/>
              <w:right w:val="single" w:sz="4" w:space="0" w:color="auto"/>
            </w:tcBorders>
            <w:vAlign w:val="center"/>
            <w:hideMark/>
          </w:tcPr>
          <w:p w14:paraId="0D9BDB0F" w14:textId="77777777" w:rsidR="00BA4FFB" w:rsidRPr="00BA4FFB" w:rsidRDefault="00BA4FFB" w:rsidP="00BA4FFB">
            <w:pPr>
              <w:spacing w:line="240" w:lineRule="auto"/>
              <w:rPr>
                <w:rFonts w:ascii="Century" w:hAnsi="Century" w:cs="Calibri"/>
                <w:b/>
                <w:bCs/>
                <w:color w:val="000000"/>
                <w:sz w:val="24"/>
                <w:u w:val="single"/>
              </w:rPr>
            </w:pPr>
          </w:p>
        </w:tc>
        <w:tc>
          <w:tcPr>
            <w:tcW w:w="3184" w:type="dxa"/>
            <w:vMerge/>
            <w:tcBorders>
              <w:top w:val="nil"/>
              <w:left w:val="single" w:sz="4" w:space="0" w:color="auto"/>
              <w:bottom w:val="single" w:sz="4" w:space="0" w:color="auto"/>
              <w:right w:val="single" w:sz="4" w:space="0" w:color="auto"/>
            </w:tcBorders>
            <w:vAlign w:val="center"/>
            <w:hideMark/>
          </w:tcPr>
          <w:p w14:paraId="2F2F77E3" w14:textId="77777777" w:rsidR="00BA4FFB" w:rsidRPr="00BA4FFB" w:rsidRDefault="00BA4FFB" w:rsidP="00BA4FFB">
            <w:pPr>
              <w:spacing w:line="240" w:lineRule="auto"/>
              <w:rPr>
                <w:rFonts w:ascii="Century" w:hAnsi="Century" w:cs="Calibri"/>
                <w:color w:val="000000"/>
                <w:sz w:val="24"/>
              </w:rPr>
            </w:pPr>
          </w:p>
        </w:tc>
        <w:tc>
          <w:tcPr>
            <w:tcW w:w="2126" w:type="dxa"/>
            <w:vMerge/>
            <w:tcBorders>
              <w:top w:val="nil"/>
              <w:left w:val="single" w:sz="4" w:space="0" w:color="auto"/>
              <w:bottom w:val="single" w:sz="4" w:space="0" w:color="auto"/>
              <w:right w:val="single" w:sz="4" w:space="0" w:color="auto"/>
            </w:tcBorders>
            <w:vAlign w:val="center"/>
            <w:hideMark/>
          </w:tcPr>
          <w:p w14:paraId="4B170419" w14:textId="77777777" w:rsidR="00BA4FFB" w:rsidRPr="00BA4FFB" w:rsidRDefault="00BA4FFB" w:rsidP="00BA4FFB">
            <w:pPr>
              <w:spacing w:line="240" w:lineRule="auto"/>
              <w:rPr>
                <w:rFonts w:ascii="Century" w:hAnsi="Century" w:cs="Calibri"/>
                <w:color w:val="000000"/>
                <w:sz w:val="24"/>
              </w:rPr>
            </w:pPr>
          </w:p>
        </w:tc>
        <w:tc>
          <w:tcPr>
            <w:tcW w:w="1276" w:type="dxa"/>
            <w:vMerge/>
            <w:tcBorders>
              <w:top w:val="nil"/>
              <w:left w:val="single" w:sz="4" w:space="0" w:color="auto"/>
              <w:bottom w:val="single" w:sz="4" w:space="0" w:color="auto"/>
              <w:right w:val="single" w:sz="4" w:space="0" w:color="auto"/>
            </w:tcBorders>
            <w:vAlign w:val="center"/>
            <w:hideMark/>
          </w:tcPr>
          <w:p w14:paraId="4D051B9B" w14:textId="77777777" w:rsidR="00BA4FFB" w:rsidRPr="00BA4FFB" w:rsidRDefault="00BA4FFB" w:rsidP="00BA4FFB">
            <w:pPr>
              <w:spacing w:line="240" w:lineRule="auto"/>
              <w:rPr>
                <w:rFonts w:ascii="Century" w:hAnsi="Century" w:cs="Calibri"/>
                <w:color w:val="000000"/>
                <w:sz w:val="24"/>
              </w:rPr>
            </w:pPr>
          </w:p>
        </w:tc>
        <w:tc>
          <w:tcPr>
            <w:tcW w:w="2268" w:type="dxa"/>
            <w:vMerge/>
            <w:tcBorders>
              <w:top w:val="nil"/>
              <w:left w:val="single" w:sz="4" w:space="0" w:color="auto"/>
              <w:bottom w:val="single" w:sz="4" w:space="0" w:color="auto"/>
              <w:right w:val="single" w:sz="4" w:space="0" w:color="auto"/>
            </w:tcBorders>
            <w:vAlign w:val="center"/>
            <w:hideMark/>
          </w:tcPr>
          <w:p w14:paraId="5800F20F" w14:textId="77777777" w:rsidR="00BA4FFB" w:rsidRPr="00BA4FFB" w:rsidRDefault="00BA4FFB" w:rsidP="00BA4FFB">
            <w:pPr>
              <w:spacing w:line="240" w:lineRule="auto"/>
              <w:rPr>
                <w:rFonts w:ascii="Century" w:hAnsi="Century" w:cs="Calibri"/>
                <w:b/>
                <w:bCs/>
                <w:color w:val="000000"/>
                <w:sz w:val="24"/>
                <w:u w:val="single"/>
              </w:rPr>
            </w:pPr>
          </w:p>
        </w:tc>
        <w:tc>
          <w:tcPr>
            <w:tcW w:w="236" w:type="dxa"/>
            <w:tcBorders>
              <w:top w:val="nil"/>
              <w:left w:val="nil"/>
              <w:bottom w:val="nil"/>
              <w:right w:val="nil"/>
            </w:tcBorders>
            <w:shd w:val="clear" w:color="auto" w:fill="auto"/>
            <w:noWrap/>
            <w:vAlign w:val="bottom"/>
            <w:hideMark/>
          </w:tcPr>
          <w:p w14:paraId="375300BE" w14:textId="77777777" w:rsidR="00BA4FFB" w:rsidRPr="00BA4FFB" w:rsidRDefault="00BA4FFB" w:rsidP="00BA4FFB">
            <w:pPr>
              <w:spacing w:line="240" w:lineRule="auto"/>
              <w:rPr>
                <w:rFonts w:ascii="Century" w:hAnsi="Century" w:cs="Calibri"/>
                <w:b/>
                <w:bCs/>
                <w:color w:val="000000"/>
                <w:sz w:val="24"/>
                <w:u w:val="single"/>
              </w:rPr>
            </w:pPr>
          </w:p>
        </w:tc>
      </w:tr>
      <w:tr w:rsidR="00BA4FFB" w:rsidRPr="00BA4FFB" w14:paraId="60E07D03" w14:textId="77777777" w:rsidTr="00BA4FFB">
        <w:trPr>
          <w:cantSplit/>
          <w:trHeight w:val="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504BB3B1"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3.</w:t>
            </w:r>
          </w:p>
        </w:tc>
        <w:tc>
          <w:tcPr>
            <w:tcW w:w="3184" w:type="dxa"/>
            <w:tcBorders>
              <w:top w:val="nil"/>
              <w:left w:val="nil"/>
              <w:bottom w:val="single" w:sz="4" w:space="0" w:color="auto"/>
              <w:right w:val="single" w:sz="4" w:space="0" w:color="auto"/>
            </w:tcBorders>
            <w:shd w:val="clear" w:color="auto" w:fill="auto"/>
            <w:vAlign w:val="center"/>
            <w:hideMark/>
          </w:tcPr>
          <w:p w14:paraId="03397528"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Придбання 3 х пробовідбірників</w:t>
            </w:r>
          </w:p>
        </w:tc>
        <w:tc>
          <w:tcPr>
            <w:tcW w:w="2126" w:type="dxa"/>
            <w:tcBorders>
              <w:top w:val="nil"/>
              <w:left w:val="nil"/>
              <w:bottom w:val="single" w:sz="4" w:space="0" w:color="auto"/>
              <w:right w:val="single" w:sz="4" w:space="0" w:color="auto"/>
            </w:tcBorders>
            <w:shd w:val="clear" w:color="auto" w:fill="auto"/>
            <w:vAlign w:val="center"/>
            <w:hideMark/>
          </w:tcPr>
          <w:p w14:paraId="4E502991"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tcBorders>
              <w:top w:val="nil"/>
              <w:left w:val="nil"/>
              <w:bottom w:val="single" w:sz="4" w:space="0" w:color="auto"/>
              <w:right w:val="single" w:sz="4" w:space="0" w:color="auto"/>
            </w:tcBorders>
            <w:shd w:val="clear" w:color="auto" w:fill="auto"/>
            <w:vAlign w:val="center"/>
            <w:hideMark/>
          </w:tcPr>
          <w:p w14:paraId="745775B1"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tcBorders>
              <w:top w:val="nil"/>
              <w:left w:val="nil"/>
              <w:bottom w:val="single" w:sz="4" w:space="0" w:color="auto"/>
              <w:right w:val="single" w:sz="4" w:space="0" w:color="auto"/>
            </w:tcBorders>
            <w:shd w:val="clear" w:color="auto" w:fill="auto"/>
            <w:vAlign w:val="center"/>
            <w:hideMark/>
          </w:tcPr>
          <w:p w14:paraId="5A4B0C39"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240 тис.грн</w:t>
            </w:r>
          </w:p>
        </w:tc>
        <w:tc>
          <w:tcPr>
            <w:tcW w:w="236" w:type="dxa"/>
            <w:vAlign w:val="center"/>
            <w:hideMark/>
          </w:tcPr>
          <w:p w14:paraId="0C20C98A" w14:textId="77777777" w:rsidR="00BA4FFB" w:rsidRPr="00BA4FFB" w:rsidRDefault="00BA4FFB" w:rsidP="00BA4FFB">
            <w:pPr>
              <w:spacing w:line="240" w:lineRule="auto"/>
              <w:rPr>
                <w:sz w:val="20"/>
                <w:szCs w:val="20"/>
              </w:rPr>
            </w:pPr>
          </w:p>
        </w:tc>
      </w:tr>
      <w:tr w:rsidR="00BA4FFB" w:rsidRPr="00BA4FFB" w14:paraId="049E12CE" w14:textId="77777777" w:rsidTr="00BA4FFB">
        <w:trPr>
          <w:cantSplit/>
          <w:trHeight w:val="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1F28B9AD" w14:textId="77777777" w:rsidR="00BA4FFB" w:rsidRPr="00BA4FFB" w:rsidRDefault="00BA4FFB" w:rsidP="00BA4FFB">
            <w:pPr>
              <w:spacing w:line="240" w:lineRule="auto"/>
              <w:jc w:val="right"/>
              <w:rPr>
                <w:rFonts w:ascii="Century" w:hAnsi="Century" w:cs="Calibri"/>
                <w:b/>
                <w:bCs/>
                <w:color w:val="000000"/>
                <w:sz w:val="24"/>
                <w:u w:val="single"/>
              </w:rPr>
            </w:pPr>
            <w:r w:rsidRPr="00BA4FFB">
              <w:rPr>
                <w:rFonts w:ascii="Century" w:hAnsi="Century" w:cs="Calibri"/>
                <w:b/>
                <w:bCs/>
                <w:color w:val="000000"/>
                <w:sz w:val="24"/>
                <w:u w:val="single"/>
              </w:rPr>
              <w:t>4</w:t>
            </w:r>
          </w:p>
        </w:tc>
        <w:tc>
          <w:tcPr>
            <w:tcW w:w="3184" w:type="dxa"/>
            <w:tcBorders>
              <w:top w:val="nil"/>
              <w:left w:val="nil"/>
              <w:bottom w:val="single" w:sz="4" w:space="0" w:color="auto"/>
              <w:right w:val="single" w:sz="4" w:space="0" w:color="auto"/>
            </w:tcBorders>
            <w:shd w:val="clear" w:color="auto" w:fill="auto"/>
            <w:vAlign w:val="center"/>
            <w:hideMark/>
          </w:tcPr>
          <w:p w14:paraId="7867F6AA"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Капітальний ремонт внутрішнього водопроводу та пожежних гідрантів відповідно до розробленої проектно кошторисної документації</w:t>
            </w:r>
          </w:p>
        </w:tc>
        <w:tc>
          <w:tcPr>
            <w:tcW w:w="2126" w:type="dxa"/>
            <w:tcBorders>
              <w:top w:val="nil"/>
              <w:left w:val="nil"/>
              <w:bottom w:val="single" w:sz="4" w:space="0" w:color="auto"/>
              <w:right w:val="single" w:sz="4" w:space="0" w:color="auto"/>
            </w:tcBorders>
            <w:shd w:val="clear" w:color="auto" w:fill="auto"/>
            <w:vAlign w:val="center"/>
            <w:hideMark/>
          </w:tcPr>
          <w:p w14:paraId="476EC946"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tcBorders>
              <w:top w:val="nil"/>
              <w:left w:val="nil"/>
              <w:bottom w:val="single" w:sz="4" w:space="0" w:color="auto"/>
              <w:right w:val="single" w:sz="4" w:space="0" w:color="auto"/>
            </w:tcBorders>
            <w:shd w:val="clear" w:color="auto" w:fill="auto"/>
            <w:vAlign w:val="center"/>
            <w:hideMark/>
          </w:tcPr>
          <w:p w14:paraId="002C6377"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tcBorders>
              <w:top w:val="nil"/>
              <w:left w:val="nil"/>
              <w:bottom w:val="single" w:sz="4" w:space="0" w:color="auto"/>
              <w:right w:val="single" w:sz="4" w:space="0" w:color="auto"/>
            </w:tcBorders>
            <w:shd w:val="clear" w:color="auto" w:fill="auto"/>
            <w:vAlign w:val="center"/>
            <w:hideMark/>
          </w:tcPr>
          <w:p w14:paraId="41F08853"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1100 тис.грн</w:t>
            </w:r>
          </w:p>
        </w:tc>
        <w:tc>
          <w:tcPr>
            <w:tcW w:w="236" w:type="dxa"/>
            <w:vAlign w:val="center"/>
            <w:hideMark/>
          </w:tcPr>
          <w:p w14:paraId="43AAA58E" w14:textId="77777777" w:rsidR="00BA4FFB" w:rsidRPr="00BA4FFB" w:rsidRDefault="00BA4FFB" w:rsidP="00BA4FFB">
            <w:pPr>
              <w:spacing w:line="240" w:lineRule="auto"/>
              <w:rPr>
                <w:sz w:val="20"/>
                <w:szCs w:val="20"/>
              </w:rPr>
            </w:pPr>
          </w:p>
        </w:tc>
      </w:tr>
      <w:tr w:rsidR="00BA4FFB" w:rsidRPr="00BA4FFB" w14:paraId="2565B3F7" w14:textId="77777777" w:rsidTr="00BA4FFB">
        <w:trPr>
          <w:cantSplit/>
          <w:trHeight w:val="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3F4410A0" w14:textId="77777777" w:rsidR="00BA4FFB" w:rsidRPr="00BA4FFB" w:rsidRDefault="00BA4FFB" w:rsidP="00BA4FFB">
            <w:pPr>
              <w:spacing w:line="240" w:lineRule="auto"/>
              <w:jc w:val="right"/>
              <w:rPr>
                <w:rFonts w:ascii="Century" w:hAnsi="Century" w:cs="Calibri"/>
                <w:b/>
                <w:bCs/>
                <w:color w:val="000000"/>
                <w:sz w:val="24"/>
                <w:u w:val="single"/>
              </w:rPr>
            </w:pPr>
            <w:r w:rsidRPr="00BA4FFB">
              <w:rPr>
                <w:rFonts w:ascii="Century" w:hAnsi="Century" w:cs="Calibri"/>
                <w:b/>
                <w:bCs/>
                <w:color w:val="000000"/>
                <w:sz w:val="24"/>
                <w:u w:val="single"/>
              </w:rPr>
              <w:lastRenderedPageBreak/>
              <w:t>5</w:t>
            </w:r>
          </w:p>
        </w:tc>
        <w:tc>
          <w:tcPr>
            <w:tcW w:w="3184" w:type="dxa"/>
            <w:tcBorders>
              <w:top w:val="nil"/>
              <w:left w:val="nil"/>
              <w:bottom w:val="single" w:sz="4" w:space="0" w:color="auto"/>
              <w:right w:val="single" w:sz="4" w:space="0" w:color="auto"/>
            </w:tcBorders>
            <w:shd w:val="clear" w:color="auto" w:fill="auto"/>
            <w:vAlign w:val="center"/>
            <w:hideMark/>
          </w:tcPr>
          <w:p w14:paraId="313E8EE9"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Придбання лабораторно посудомийної машини  дезінфекційно мийна машина з сушкою</w:t>
            </w:r>
          </w:p>
        </w:tc>
        <w:tc>
          <w:tcPr>
            <w:tcW w:w="2126" w:type="dxa"/>
            <w:tcBorders>
              <w:top w:val="nil"/>
              <w:left w:val="nil"/>
              <w:bottom w:val="single" w:sz="4" w:space="0" w:color="auto"/>
              <w:right w:val="single" w:sz="4" w:space="0" w:color="auto"/>
            </w:tcBorders>
            <w:shd w:val="clear" w:color="auto" w:fill="auto"/>
            <w:vAlign w:val="center"/>
            <w:hideMark/>
          </w:tcPr>
          <w:p w14:paraId="47FD50BE"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tcBorders>
              <w:top w:val="nil"/>
              <w:left w:val="nil"/>
              <w:bottom w:val="single" w:sz="4" w:space="0" w:color="auto"/>
              <w:right w:val="single" w:sz="4" w:space="0" w:color="auto"/>
            </w:tcBorders>
            <w:shd w:val="clear" w:color="auto" w:fill="auto"/>
            <w:vAlign w:val="center"/>
            <w:hideMark/>
          </w:tcPr>
          <w:p w14:paraId="5C0F6988"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tcBorders>
              <w:top w:val="nil"/>
              <w:left w:val="nil"/>
              <w:bottom w:val="single" w:sz="4" w:space="0" w:color="auto"/>
              <w:right w:val="single" w:sz="4" w:space="0" w:color="auto"/>
            </w:tcBorders>
            <w:shd w:val="clear" w:color="auto" w:fill="auto"/>
            <w:vAlign w:val="center"/>
            <w:hideMark/>
          </w:tcPr>
          <w:p w14:paraId="56505E72"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1069 тис грн</w:t>
            </w:r>
          </w:p>
        </w:tc>
        <w:tc>
          <w:tcPr>
            <w:tcW w:w="236" w:type="dxa"/>
            <w:vAlign w:val="center"/>
            <w:hideMark/>
          </w:tcPr>
          <w:p w14:paraId="644425A9" w14:textId="77777777" w:rsidR="00BA4FFB" w:rsidRPr="00BA4FFB" w:rsidRDefault="00BA4FFB" w:rsidP="00BA4FFB">
            <w:pPr>
              <w:spacing w:line="240" w:lineRule="auto"/>
              <w:rPr>
                <w:sz w:val="20"/>
                <w:szCs w:val="20"/>
              </w:rPr>
            </w:pPr>
          </w:p>
        </w:tc>
      </w:tr>
      <w:tr w:rsidR="00BA4FFB" w:rsidRPr="00BA4FFB" w14:paraId="7722F9EA" w14:textId="77777777" w:rsidTr="00BA4FFB">
        <w:trPr>
          <w:cantSplit/>
          <w:trHeight w:val="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49B5CFF7" w14:textId="77777777" w:rsidR="00BA4FFB" w:rsidRPr="00BA4FFB" w:rsidRDefault="00BA4FFB" w:rsidP="00BA4FFB">
            <w:pPr>
              <w:spacing w:line="240" w:lineRule="auto"/>
              <w:jc w:val="right"/>
              <w:rPr>
                <w:rFonts w:ascii="Century" w:hAnsi="Century" w:cs="Calibri"/>
                <w:b/>
                <w:bCs/>
                <w:color w:val="000000"/>
                <w:sz w:val="24"/>
                <w:u w:val="single"/>
              </w:rPr>
            </w:pPr>
            <w:r w:rsidRPr="00BA4FFB">
              <w:rPr>
                <w:rFonts w:ascii="Century" w:hAnsi="Century" w:cs="Calibri"/>
                <w:b/>
                <w:bCs/>
                <w:color w:val="000000"/>
                <w:sz w:val="24"/>
                <w:u w:val="single"/>
              </w:rPr>
              <w:t>6</w:t>
            </w:r>
          </w:p>
        </w:tc>
        <w:tc>
          <w:tcPr>
            <w:tcW w:w="3184" w:type="dxa"/>
            <w:tcBorders>
              <w:top w:val="nil"/>
              <w:left w:val="nil"/>
              <w:bottom w:val="single" w:sz="4" w:space="0" w:color="auto"/>
              <w:right w:val="single" w:sz="4" w:space="0" w:color="auto"/>
            </w:tcBorders>
            <w:shd w:val="clear" w:color="auto" w:fill="auto"/>
            <w:vAlign w:val="center"/>
            <w:hideMark/>
          </w:tcPr>
          <w:p w14:paraId="5EF80A46"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Придбання комплектуючих для дезінфекційно мийної машини</w:t>
            </w:r>
          </w:p>
        </w:tc>
        <w:tc>
          <w:tcPr>
            <w:tcW w:w="2126" w:type="dxa"/>
            <w:tcBorders>
              <w:top w:val="nil"/>
              <w:left w:val="nil"/>
              <w:bottom w:val="single" w:sz="4" w:space="0" w:color="auto"/>
              <w:right w:val="single" w:sz="4" w:space="0" w:color="auto"/>
            </w:tcBorders>
            <w:shd w:val="clear" w:color="auto" w:fill="auto"/>
            <w:vAlign w:val="center"/>
            <w:hideMark/>
          </w:tcPr>
          <w:p w14:paraId="6CAF0D92"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tcBorders>
              <w:top w:val="nil"/>
              <w:left w:val="nil"/>
              <w:bottom w:val="single" w:sz="4" w:space="0" w:color="auto"/>
              <w:right w:val="single" w:sz="4" w:space="0" w:color="auto"/>
            </w:tcBorders>
            <w:shd w:val="clear" w:color="auto" w:fill="auto"/>
            <w:vAlign w:val="center"/>
            <w:hideMark/>
          </w:tcPr>
          <w:p w14:paraId="12A89AB2"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tcBorders>
              <w:top w:val="nil"/>
              <w:left w:val="nil"/>
              <w:bottom w:val="single" w:sz="4" w:space="0" w:color="auto"/>
              <w:right w:val="single" w:sz="4" w:space="0" w:color="auto"/>
            </w:tcBorders>
            <w:shd w:val="clear" w:color="auto" w:fill="auto"/>
            <w:vAlign w:val="center"/>
            <w:hideMark/>
          </w:tcPr>
          <w:p w14:paraId="69434D7E"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330 тис.грн</w:t>
            </w:r>
          </w:p>
        </w:tc>
        <w:tc>
          <w:tcPr>
            <w:tcW w:w="236" w:type="dxa"/>
            <w:vAlign w:val="center"/>
            <w:hideMark/>
          </w:tcPr>
          <w:p w14:paraId="5600C8C4" w14:textId="77777777" w:rsidR="00BA4FFB" w:rsidRPr="00BA4FFB" w:rsidRDefault="00BA4FFB" w:rsidP="00BA4FFB">
            <w:pPr>
              <w:spacing w:line="240" w:lineRule="auto"/>
              <w:rPr>
                <w:sz w:val="20"/>
                <w:szCs w:val="20"/>
              </w:rPr>
            </w:pPr>
          </w:p>
        </w:tc>
      </w:tr>
      <w:tr w:rsidR="00BA4FFB" w:rsidRPr="00BA4FFB" w14:paraId="14DFD0AB" w14:textId="77777777" w:rsidTr="00BA4FFB">
        <w:trPr>
          <w:cantSplit/>
          <w:trHeight w:val="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13DA89BC" w14:textId="77777777" w:rsidR="00BA4FFB" w:rsidRPr="00BA4FFB" w:rsidRDefault="00BA4FFB" w:rsidP="00BA4FFB">
            <w:pPr>
              <w:spacing w:line="240" w:lineRule="auto"/>
              <w:jc w:val="right"/>
              <w:rPr>
                <w:rFonts w:ascii="Century" w:hAnsi="Century" w:cs="Calibri"/>
                <w:b/>
                <w:bCs/>
                <w:color w:val="000000"/>
                <w:sz w:val="24"/>
                <w:u w:val="single"/>
              </w:rPr>
            </w:pPr>
            <w:r w:rsidRPr="00BA4FFB">
              <w:rPr>
                <w:rFonts w:ascii="Century" w:hAnsi="Century" w:cs="Calibri"/>
                <w:b/>
                <w:bCs/>
                <w:color w:val="000000"/>
                <w:sz w:val="24"/>
                <w:u w:val="single"/>
              </w:rPr>
              <w:t>7</w:t>
            </w:r>
          </w:p>
        </w:tc>
        <w:tc>
          <w:tcPr>
            <w:tcW w:w="3184" w:type="dxa"/>
            <w:tcBorders>
              <w:top w:val="nil"/>
              <w:left w:val="nil"/>
              <w:bottom w:val="single" w:sz="4" w:space="0" w:color="auto"/>
              <w:right w:val="single" w:sz="4" w:space="0" w:color="auto"/>
            </w:tcBorders>
            <w:shd w:val="clear" w:color="auto" w:fill="auto"/>
            <w:vAlign w:val="center"/>
            <w:hideMark/>
          </w:tcPr>
          <w:p w14:paraId="41E2B15C"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Придбання баку під тиском для системи очищення води</w:t>
            </w:r>
          </w:p>
        </w:tc>
        <w:tc>
          <w:tcPr>
            <w:tcW w:w="2126" w:type="dxa"/>
            <w:tcBorders>
              <w:top w:val="nil"/>
              <w:left w:val="nil"/>
              <w:bottom w:val="single" w:sz="4" w:space="0" w:color="auto"/>
              <w:right w:val="single" w:sz="4" w:space="0" w:color="auto"/>
            </w:tcBorders>
            <w:shd w:val="clear" w:color="auto" w:fill="auto"/>
            <w:vAlign w:val="center"/>
            <w:hideMark/>
          </w:tcPr>
          <w:p w14:paraId="30BAFBE0"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tcBorders>
              <w:top w:val="nil"/>
              <w:left w:val="nil"/>
              <w:bottom w:val="single" w:sz="4" w:space="0" w:color="auto"/>
              <w:right w:val="single" w:sz="4" w:space="0" w:color="auto"/>
            </w:tcBorders>
            <w:shd w:val="clear" w:color="auto" w:fill="auto"/>
            <w:vAlign w:val="center"/>
            <w:hideMark/>
          </w:tcPr>
          <w:p w14:paraId="105D97F8"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tcBorders>
              <w:top w:val="nil"/>
              <w:left w:val="nil"/>
              <w:bottom w:val="single" w:sz="4" w:space="0" w:color="auto"/>
              <w:right w:val="single" w:sz="4" w:space="0" w:color="auto"/>
            </w:tcBorders>
            <w:shd w:val="clear" w:color="auto" w:fill="auto"/>
            <w:vAlign w:val="center"/>
            <w:hideMark/>
          </w:tcPr>
          <w:p w14:paraId="719BC588"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35 тис.грн</w:t>
            </w:r>
          </w:p>
        </w:tc>
        <w:tc>
          <w:tcPr>
            <w:tcW w:w="236" w:type="dxa"/>
            <w:vAlign w:val="center"/>
            <w:hideMark/>
          </w:tcPr>
          <w:p w14:paraId="7FF5D455" w14:textId="77777777" w:rsidR="00BA4FFB" w:rsidRPr="00BA4FFB" w:rsidRDefault="00BA4FFB" w:rsidP="00BA4FFB">
            <w:pPr>
              <w:spacing w:line="240" w:lineRule="auto"/>
              <w:rPr>
                <w:sz w:val="20"/>
                <w:szCs w:val="20"/>
              </w:rPr>
            </w:pPr>
          </w:p>
        </w:tc>
      </w:tr>
      <w:tr w:rsidR="00BA4FFB" w:rsidRPr="00BA4FFB" w14:paraId="7F7E0F90" w14:textId="77777777" w:rsidTr="00BA4FFB">
        <w:trPr>
          <w:cantSplit/>
          <w:trHeight w:val="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6954F979" w14:textId="77777777" w:rsidR="00BA4FFB" w:rsidRPr="00BA4FFB" w:rsidRDefault="00BA4FFB" w:rsidP="00BA4FFB">
            <w:pPr>
              <w:spacing w:line="240" w:lineRule="auto"/>
              <w:jc w:val="right"/>
              <w:rPr>
                <w:rFonts w:ascii="Century" w:hAnsi="Century" w:cs="Calibri"/>
                <w:b/>
                <w:bCs/>
                <w:color w:val="000000"/>
                <w:sz w:val="24"/>
                <w:u w:val="single"/>
              </w:rPr>
            </w:pPr>
            <w:r w:rsidRPr="00BA4FFB">
              <w:rPr>
                <w:rFonts w:ascii="Century" w:hAnsi="Century" w:cs="Calibri"/>
                <w:b/>
                <w:bCs/>
                <w:color w:val="000000"/>
                <w:sz w:val="24"/>
                <w:u w:val="single"/>
              </w:rPr>
              <w:t>8</w:t>
            </w:r>
          </w:p>
        </w:tc>
        <w:tc>
          <w:tcPr>
            <w:tcW w:w="3184" w:type="dxa"/>
            <w:tcBorders>
              <w:top w:val="nil"/>
              <w:left w:val="nil"/>
              <w:bottom w:val="single" w:sz="4" w:space="0" w:color="auto"/>
              <w:right w:val="single" w:sz="4" w:space="0" w:color="auto"/>
            </w:tcBorders>
            <w:shd w:val="clear" w:color="auto" w:fill="auto"/>
            <w:vAlign w:val="center"/>
            <w:hideMark/>
          </w:tcPr>
          <w:p w14:paraId="7BF3907D"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Придбання конектора для посудомийної машини</w:t>
            </w:r>
          </w:p>
        </w:tc>
        <w:tc>
          <w:tcPr>
            <w:tcW w:w="2126" w:type="dxa"/>
            <w:tcBorders>
              <w:top w:val="nil"/>
              <w:left w:val="nil"/>
              <w:bottom w:val="single" w:sz="4" w:space="0" w:color="auto"/>
              <w:right w:val="single" w:sz="4" w:space="0" w:color="auto"/>
            </w:tcBorders>
            <w:shd w:val="clear" w:color="auto" w:fill="auto"/>
            <w:vAlign w:val="center"/>
            <w:hideMark/>
          </w:tcPr>
          <w:p w14:paraId="49FAFD13"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tcBorders>
              <w:top w:val="nil"/>
              <w:left w:val="nil"/>
              <w:bottom w:val="single" w:sz="4" w:space="0" w:color="auto"/>
              <w:right w:val="single" w:sz="4" w:space="0" w:color="auto"/>
            </w:tcBorders>
            <w:shd w:val="clear" w:color="auto" w:fill="auto"/>
            <w:vAlign w:val="center"/>
            <w:hideMark/>
          </w:tcPr>
          <w:p w14:paraId="3CCBB0DF"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tcBorders>
              <w:top w:val="nil"/>
              <w:left w:val="nil"/>
              <w:bottom w:val="single" w:sz="4" w:space="0" w:color="auto"/>
              <w:right w:val="single" w:sz="4" w:space="0" w:color="auto"/>
            </w:tcBorders>
            <w:shd w:val="clear" w:color="auto" w:fill="auto"/>
            <w:vAlign w:val="center"/>
            <w:hideMark/>
          </w:tcPr>
          <w:p w14:paraId="6D4D3539"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5 тис.грн</w:t>
            </w:r>
          </w:p>
        </w:tc>
        <w:tc>
          <w:tcPr>
            <w:tcW w:w="236" w:type="dxa"/>
            <w:vAlign w:val="center"/>
            <w:hideMark/>
          </w:tcPr>
          <w:p w14:paraId="45FFC038" w14:textId="77777777" w:rsidR="00BA4FFB" w:rsidRPr="00BA4FFB" w:rsidRDefault="00BA4FFB" w:rsidP="00BA4FFB">
            <w:pPr>
              <w:spacing w:line="240" w:lineRule="auto"/>
              <w:rPr>
                <w:sz w:val="20"/>
                <w:szCs w:val="20"/>
              </w:rPr>
            </w:pPr>
          </w:p>
        </w:tc>
      </w:tr>
      <w:tr w:rsidR="00BA4FFB" w:rsidRPr="00BA4FFB" w14:paraId="5B16CE87" w14:textId="77777777" w:rsidTr="00BA4FFB">
        <w:trPr>
          <w:cantSplit/>
          <w:trHeight w:val="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222804BF" w14:textId="77777777" w:rsidR="00BA4FFB" w:rsidRPr="00BA4FFB" w:rsidRDefault="00BA4FFB" w:rsidP="00BA4FFB">
            <w:pPr>
              <w:spacing w:line="240" w:lineRule="auto"/>
              <w:jc w:val="right"/>
              <w:rPr>
                <w:rFonts w:ascii="Century" w:hAnsi="Century" w:cs="Calibri"/>
                <w:b/>
                <w:bCs/>
                <w:color w:val="000000"/>
                <w:sz w:val="24"/>
                <w:u w:val="single"/>
              </w:rPr>
            </w:pPr>
            <w:r w:rsidRPr="00BA4FFB">
              <w:rPr>
                <w:rFonts w:ascii="Century" w:hAnsi="Century" w:cs="Calibri"/>
                <w:b/>
                <w:bCs/>
                <w:color w:val="000000"/>
                <w:sz w:val="24"/>
                <w:u w:val="single"/>
              </w:rPr>
              <w:t>9</w:t>
            </w:r>
          </w:p>
        </w:tc>
        <w:tc>
          <w:tcPr>
            <w:tcW w:w="3184" w:type="dxa"/>
            <w:tcBorders>
              <w:top w:val="nil"/>
              <w:left w:val="nil"/>
              <w:bottom w:val="single" w:sz="4" w:space="0" w:color="auto"/>
              <w:right w:val="single" w:sz="4" w:space="0" w:color="auto"/>
            </w:tcBorders>
            <w:shd w:val="clear" w:color="auto" w:fill="auto"/>
            <w:vAlign w:val="center"/>
            <w:hideMark/>
          </w:tcPr>
          <w:p w14:paraId="744AC98F"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Проведення ремонтних робіт</w:t>
            </w:r>
          </w:p>
        </w:tc>
        <w:tc>
          <w:tcPr>
            <w:tcW w:w="2126" w:type="dxa"/>
            <w:tcBorders>
              <w:top w:val="nil"/>
              <w:left w:val="nil"/>
              <w:bottom w:val="single" w:sz="4" w:space="0" w:color="auto"/>
              <w:right w:val="single" w:sz="4" w:space="0" w:color="auto"/>
            </w:tcBorders>
            <w:shd w:val="clear" w:color="auto" w:fill="auto"/>
            <w:vAlign w:val="center"/>
            <w:hideMark/>
          </w:tcPr>
          <w:p w14:paraId="7423594C"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tcBorders>
              <w:top w:val="nil"/>
              <w:left w:val="nil"/>
              <w:bottom w:val="single" w:sz="4" w:space="0" w:color="auto"/>
              <w:right w:val="single" w:sz="4" w:space="0" w:color="auto"/>
            </w:tcBorders>
            <w:shd w:val="clear" w:color="auto" w:fill="auto"/>
            <w:vAlign w:val="center"/>
            <w:hideMark/>
          </w:tcPr>
          <w:p w14:paraId="0B25BD9C"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tcBorders>
              <w:top w:val="nil"/>
              <w:left w:val="nil"/>
              <w:bottom w:val="single" w:sz="4" w:space="0" w:color="auto"/>
              <w:right w:val="single" w:sz="4" w:space="0" w:color="auto"/>
            </w:tcBorders>
            <w:shd w:val="clear" w:color="auto" w:fill="auto"/>
            <w:vAlign w:val="center"/>
            <w:hideMark/>
          </w:tcPr>
          <w:p w14:paraId="41E7CD08"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630 тис.грн</w:t>
            </w:r>
          </w:p>
        </w:tc>
        <w:tc>
          <w:tcPr>
            <w:tcW w:w="236" w:type="dxa"/>
            <w:vAlign w:val="center"/>
            <w:hideMark/>
          </w:tcPr>
          <w:p w14:paraId="74B1910E" w14:textId="77777777" w:rsidR="00BA4FFB" w:rsidRPr="00BA4FFB" w:rsidRDefault="00BA4FFB" w:rsidP="00BA4FFB">
            <w:pPr>
              <w:spacing w:line="240" w:lineRule="auto"/>
              <w:rPr>
                <w:sz w:val="20"/>
                <w:szCs w:val="20"/>
              </w:rPr>
            </w:pPr>
          </w:p>
        </w:tc>
      </w:tr>
      <w:tr w:rsidR="00BA4FFB" w:rsidRPr="00BA4FFB" w14:paraId="181CA561" w14:textId="77777777" w:rsidTr="00BA4FFB">
        <w:trPr>
          <w:cantSplit/>
          <w:trHeight w:val="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14FE0868" w14:textId="77777777" w:rsidR="00BA4FFB" w:rsidRPr="00BA4FFB" w:rsidRDefault="00BA4FFB" w:rsidP="00BA4FFB">
            <w:pPr>
              <w:spacing w:line="240" w:lineRule="auto"/>
              <w:jc w:val="right"/>
              <w:rPr>
                <w:rFonts w:ascii="Century" w:hAnsi="Century" w:cs="Calibri"/>
                <w:b/>
                <w:bCs/>
                <w:color w:val="000000"/>
                <w:sz w:val="24"/>
                <w:u w:val="single"/>
              </w:rPr>
            </w:pPr>
            <w:r w:rsidRPr="00BA4FFB">
              <w:rPr>
                <w:rFonts w:ascii="Century" w:hAnsi="Century" w:cs="Calibri"/>
                <w:b/>
                <w:bCs/>
                <w:color w:val="000000"/>
                <w:sz w:val="24"/>
                <w:u w:val="single"/>
              </w:rPr>
              <w:t>10</w:t>
            </w:r>
          </w:p>
        </w:tc>
        <w:tc>
          <w:tcPr>
            <w:tcW w:w="3184" w:type="dxa"/>
            <w:tcBorders>
              <w:top w:val="nil"/>
              <w:left w:val="nil"/>
              <w:bottom w:val="single" w:sz="4" w:space="0" w:color="auto"/>
              <w:right w:val="single" w:sz="4" w:space="0" w:color="auto"/>
            </w:tcBorders>
            <w:shd w:val="clear" w:color="auto" w:fill="auto"/>
            <w:vAlign w:val="center"/>
            <w:hideMark/>
          </w:tcPr>
          <w:p w14:paraId="70953ED1"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 xml:space="preserve">Роботи з розробки проектно-кошторисної документації </w:t>
            </w:r>
          </w:p>
        </w:tc>
        <w:tc>
          <w:tcPr>
            <w:tcW w:w="2126" w:type="dxa"/>
            <w:tcBorders>
              <w:top w:val="nil"/>
              <w:left w:val="nil"/>
              <w:bottom w:val="single" w:sz="4" w:space="0" w:color="auto"/>
              <w:right w:val="single" w:sz="4" w:space="0" w:color="auto"/>
            </w:tcBorders>
            <w:shd w:val="clear" w:color="auto" w:fill="auto"/>
            <w:vAlign w:val="center"/>
            <w:hideMark/>
          </w:tcPr>
          <w:p w14:paraId="2897CB3E"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tcBorders>
              <w:top w:val="nil"/>
              <w:left w:val="nil"/>
              <w:bottom w:val="single" w:sz="4" w:space="0" w:color="auto"/>
              <w:right w:val="single" w:sz="4" w:space="0" w:color="auto"/>
            </w:tcBorders>
            <w:shd w:val="clear" w:color="auto" w:fill="auto"/>
            <w:vAlign w:val="center"/>
            <w:hideMark/>
          </w:tcPr>
          <w:p w14:paraId="625CD1FA"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tcBorders>
              <w:top w:val="nil"/>
              <w:left w:val="nil"/>
              <w:bottom w:val="single" w:sz="4" w:space="0" w:color="auto"/>
              <w:right w:val="single" w:sz="4" w:space="0" w:color="auto"/>
            </w:tcBorders>
            <w:shd w:val="clear" w:color="auto" w:fill="auto"/>
            <w:vAlign w:val="center"/>
            <w:hideMark/>
          </w:tcPr>
          <w:p w14:paraId="1DF05677"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300 тис. грн</w:t>
            </w:r>
          </w:p>
        </w:tc>
        <w:tc>
          <w:tcPr>
            <w:tcW w:w="236" w:type="dxa"/>
            <w:vAlign w:val="center"/>
            <w:hideMark/>
          </w:tcPr>
          <w:p w14:paraId="2831C343" w14:textId="77777777" w:rsidR="00BA4FFB" w:rsidRPr="00BA4FFB" w:rsidRDefault="00BA4FFB" w:rsidP="00BA4FFB">
            <w:pPr>
              <w:spacing w:line="240" w:lineRule="auto"/>
              <w:rPr>
                <w:sz w:val="20"/>
                <w:szCs w:val="20"/>
              </w:rPr>
            </w:pPr>
          </w:p>
        </w:tc>
      </w:tr>
      <w:tr w:rsidR="00BA4FFB" w:rsidRPr="00BA4FFB" w14:paraId="543D298E" w14:textId="77777777" w:rsidTr="00BA4FFB">
        <w:trPr>
          <w:cantSplit/>
          <w:trHeight w:val="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1E012B05" w14:textId="77777777" w:rsidR="00BA4FFB" w:rsidRPr="00BA4FFB" w:rsidRDefault="00BA4FFB" w:rsidP="00BA4FFB">
            <w:pPr>
              <w:spacing w:line="240" w:lineRule="auto"/>
              <w:jc w:val="right"/>
              <w:rPr>
                <w:rFonts w:ascii="Century" w:hAnsi="Century" w:cs="Calibri"/>
                <w:b/>
                <w:bCs/>
                <w:color w:val="000000"/>
                <w:sz w:val="24"/>
                <w:u w:val="single"/>
              </w:rPr>
            </w:pPr>
            <w:r w:rsidRPr="00BA4FFB">
              <w:rPr>
                <w:rFonts w:ascii="Century" w:hAnsi="Century" w:cs="Calibri"/>
                <w:b/>
                <w:bCs/>
                <w:color w:val="000000"/>
                <w:sz w:val="24"/>
                <w:u w:val="single"/>
              </w:rPr>
              <w:t>11</w:t>
            </w:r>
          </w:p>
        </w:tc>
        <w:tc>
          <w:tcPr>
            <w:tcW w:w="3184" w:type="dxa"/>
            <w:tcBorders>
              <w:top w:val="nil"/>
              <w:left w:val="nil"/>
              <w:bottom w:val="single" w:sz="4" w:space="0" w:color="auto"/>
              <w:right w:val="single" w:sz="4" w:space="0" w:color="auto"/>
            </w:tcBorders>
            <w:shd w:val="clear" w:color="auto" w:fill="auto"/>
            <w:vAlign w:val="center"/>
            <w:hideMark/>
          </w:tcPr>
          <w:p w14:paraId="2DDC1BCF"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Придбання дезкамери</w:t>
            </w:r>
          </w:p>
        </w:tc>
        <w:tc>
          <w:tcPr>
            <w:tcW w:w="2126" w:type="dxa"/>
            <w:tcBorders>
              <w:top w:val="nil"/>
              <w:left w:val="nil"/>
              <w:bottom w:val="single" w:sz="4" w:space="0" w:color="auto"/>
              <w:right w:val="single" w:sz="4" w:space="0" w:color="auto"/>
            </w:tcBorders>
            <w:shd w:val="clear" w:color="auto" w:fill="auto"/>
            <w:vAlign w:val="center"/>
            <w:hideMark/>
          </w:tcPr>
          <w:p w14:paraId="7023A87E"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tcBorders>
              <w:top w:val="nil"/>
              <w:left w:val="nil"/>
              <w:bottom w:val="single" w:sz="4" w:space="0" w:color="auto"/>
              <w:right w:val="single" w:sz="4" w:space="0" w:color="auto"/>
            </w:tcBorders>
            <w:shd w:val="clear" w:color="auto" w:fill="auto"/>
            <w:vAlign w:val="center"/>
            <w:hideMark/>
          </w:tcPr>
          <w:p w14:paraId="2303D0E0"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tcBorders>
              <w:top w:val="nil"/>
              <w:left w:val="nil"/>
              <w:bottom w:val="single" w:sz="4" w:space="0" w:color="auto"/>
              <w:right w:val="single" w:sz="4" w:space="0" w:color="auto"/>
            </w:tcBorders>
            <w:shd w:val="clear" w:color="auto" w:fill="auto"/>
            <w:vAlign w:val="center"/>
            <w:hideMark/>
          </w:tcPr>
          <w:p w14:paraId="6470F8D0"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450 тис грн</w:t>
            </w:r>
          </w:p>
        </w:tc>
        <w:tc>
          <w:tcPr>
            <w:tcW w:w="236" w:type="dxa"/>
            <w:vAlign w:val="center"/>
            <w:hideMark/>
          </w:tcPr>
          <w:p w14:paraId="5D0642CA" w14:textId="77777777" w:rsidR="00BA4FFB" w:rsidRPr="00BA4FFB" w:rsidRDefault="00BA4FFB" w:rsidP="00BA4FFB">
            <w:pPr>
              <w:spacing w:line="240" w:lineRule="auto"/>
              <w:rPr>
                <w:sz w:val="20"/>
                <w:szCs w:val="20"/>
              </w:rPr>
            </w:pPr>
          </w:p>
        </w:tc>
      </w:tr>
      <w:tr w:rsidR="00BA4FFB" w:rsidRPr="00BA4FFB" w14:paraId="3B7421C4" w14:textId="77777777" w:rsidTr="00BA4FFB">
        <w:trPr>
          <w:cantSplit/>
          <w:trHeight w:val="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49701530" w14:textId="77777777" w:rsidR="00BA4FFB" w:rsidRPr="00BA4FFB" w:rsidRDefault="00BA4FFB" w:rsidP="00BA4FFB">
            <w:pPr>
              <w:spacing w:line="240" w:lineRule="auto"/>
              <w:jc w:val="right"/>
              <w:rPr>
                <w:rFonts w:ascii="Century" w:hAnsi="Century" w:cs="Calibri"/>
                <w:b/>
                <w:bCs/>
                <w:color w:val="000000"/>
                <w:sz w:val="24"/>
                <w:u w:val="single"/>
              </w:rPr>
            </w:pPr>
            <w:r w:rsidRPr="00BA4FFB">
              <w:rPr>
                <w:rFonts w:ascii="Century" w:hAnsi="Century" w:cs="Calibri"/>
                <w:b/>
                <w:bCs/>
                <w:color w:val="000000"/>
                <w:sz w:val="24"/>
                <w:u w:val="single"/>
              </w:rPr>
              <w:t>13</w:t>
            </w:r>
          </w:p>
        </w:tc>
        <w:tc>
          <w:tcPr>
            <w:tcW w:w="3184" w:type="dxa"/>
            <w:tcBorders>
              <w:top w:val="nil"/>
              <w:left w:val="nil"/>
              <w:bottom w:val="single" w:sz="4" w:space="0" w:color="auto"/>
              <w:right w:val="single" w:sz="4" w:space="0" w:color="auto"/>
            </w:tcBorders>
            <w:shd w:val="clear" w:color="auto" w:fill="auto"/>
            <w:vAlign w:val="center"/>
            <w:hideMark/>
          </w:tcPr>
          <w:p w14:paraId="6BE99BCA"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Придбання матеріалів для господарської діяльності</w:t>
            </w:r>
          </w:p>
        </w:tc>
        <w:tc>
          <w:tcPr>
            <w:tcW w:w="2126" w:type="dxa"/>
            <w:tcBorders>
              <w:top w:val="nil"/>
              <w:left w:val="nil"/>
              <w:bottom w:val="single" w:sz="4" w:space="0" w:color="auto"/>
              <w:right w:val="single" w:sz="4" w:space="0" w:color="auto"/>
            </w:tcBorders>
            <w:shd w:val="clear" w:color="auto" w:fill="auto"/>
            <w:vAlign w:val="center"/>
            <w:hideMark/>
          </w:tcPr>
          <w:p w14:paraId="7C0A8DEA"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tcBorders>
              <w:top w:val="nil"/>
              <w:left w:val="nil"/>
              <w:bottom w:val="single" w:sz="4" w:space="0" w:color="auto"/>
              <w:right w:val="single" w:sz="4" w:space="0" w:color="auto"/>
            </w:tcBorders>
            <w:shd w:val="clear" w:color="auto" w:fill="auto"/>
            <w:vAlign w:val="center"/>
            <w:hideMark/>
          </w:tcPr>
          <w:p w14:paraId="3BF33BD3"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tcBorders>
              <w:top w:val="nil"/>
              <w:left w:val="nil"/>
              <w:bottom w:val="single" w:sz="4" w:space="0" w:color="auto"/>
              <w:right w:val="single" w:sz="4" w:space="0" w:color="auto"/>
            </w:tcBorders>
            <w:shd w:val="clear" w:color="auto" w:fill="auto"/>
            <w:vAlign w:val="center"/>
            <w:hideMark/>
          </w:tcPr>
          <w:p w14:paraId="7D4AE431"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600 тис.грн</w:t>
            </w:r>
          </w:p>
        </w:tc>
        <w:tc>
          <w:tcPr>
            <w:tcW w:w="236" w:type="dxa"/>
            <w:vAlign w:val="center"/>
            <w:hideMark/>
          </w:tcPr>
          <w:p w14:paraId="3D212423" w14:textId="77777777" w:rsidR="00BA4FFB" w:rsidRPr="00BA4FFB" w:rsidRDefault="00BA4FFB" w:rsidP="00BA4FFB">
            <w:pPr>
              <w:spacing w:line="240" w:lineRule="auto"/>
              <w:rPr>
                <w:sz w:val="20"/>
                <w:szCs w:val="20"/>
              </w:rPr>
            </w:pPr>
          </w:p>
        </w:tc>
      </w:tr>
      <w:tr w:rsidR="00BA4FFB" w:rsidRPr="00BA4FFB" w14:paraId="6707397F" w14:textId="77777777" w:rsidTr="00BA4FFB">
        <w:trPr>
          <w:cantSplit/>
          <w:trHeight w:val="20"/>
        </w:trPr>
        <w:tc>
          <w:tcPr>
            <w:tcW w:w="639" w:type="dxa"/>
            <w:tcBorders>
              <w:top w:val="nil"/>
              <w:left w:val="single" w:sz="4" w:space="0" w:color="auto"/>
              <w:bottom w:val="single" w:sz="4" w:space="0" w:color="auto"/>
              <w:right w:val="single" w:sz="4" w:space="0" w:color="auto"/>
            </w:tcBorders>
            <w:shd w:val="clear" w:color="auto" w:fill="auto"/>
            <w:vAlign w:val="center"/>
            <w:hideMark/>
          </w:tcPr>
          <w:p w14:paraId="714027E1" w14:textId="77777777" w:rsidR="00BA4FFB" w:rsidRPr="00BA4FFB" w:rsidRDefault="00BA4FFB" w:rsidP="00BA4FFB">
            <w:pPr>
              <w:spacing w:line="240" w:lineRule="auto"/>
              <w:jc w:val="right"/>
              <w:rPr>
                <w:rFonts w:ascii="Century" w:hAnsi="Century" w:cs="Calibri"/>
                <w:b/>
                <w:bCs/>
                <w:color w:val="000000"/>
                <w:sz w:val="24"/>
                <w:u w:val="single"/>
              </w:rPr>
            </w:pPr>
            <w:r w:rsidRPr="00BA4FFB">
              <w:rPr>
                <w:rFonts w:ascii="Century" w:hAnsi="Century" w:cs="Calibri"/>
                <w:b/>
                <w:bCs/>
                <w:color w:val="000000"/>
                <w:sz w:val="24"/>
                <w:u w:val="single"/>
              </w:rPr>
              <w:t>14</w:t>
            </w:r>
          </w:p>
        </w:tc>
        <w:tc>
          <w:tcPr>
            <w:tcW w:w="3184" w:type="dxa"/>
            <w:tcBorders>
              <w:top w:val="nil"/>
              <w:left w:val="nil"/>
              <w:bottom w:val="single" w:sz="4" w:space="0" w:color="auto"/>
              <w:right w:val="single" w:sz="4" w:space="0" w:color="auto"/>
            </w:tcBorders>
            <w:shd w:val="clear" w:color="auto" w:fill="auto"/>
            <w:vAlign w:val="center"/>
            <w:hideMark/>
          </w:tcPr>
          <w:p w14:paraId="4546CE1C"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Встановлення пластикових дверей/вікон</w:t>
            </w:r>
          </w:p>
        </w:tc>
        <w:tc>
          <w:tcPr>
            <w:tcW w:w="2126" w:type="dxa"/>
            <w:tcBorders>
              <w:top w:val="nil"/>
              <w:left w:val="nil"/>
              <w:bottom w:val="single" w:sz="4" w:space="0" w:color="auto"/>
              <w:right w:val="single" w:sz="4" w:space="0" w:color="auto"/>
            </w:tcBorders>
            <w:shd w:val="clear" w:color="auto" w:fill="auto"/>
            <w:vAlign w:val="center"/>
            <w:hideMark/>
          </w:tcPr>
          <w:p w14:paraId="485DED40" w14:textId="77777777" w:rsidR="00BA4FFB" w:rsidRPr="00BA4FFB" w:rsidRDefault="00BA4FFB" w:rsidP="00BA4FFB">
            <w:pPr>
              <w:spacing w:line="240" w:lineRule="auto"/>
              <w:rPr>
                <w:rFonts w:ascii="Century" w:hAnsi="Century" w:cs="Calibri"/>
                <w:color w:val="000000"/>
                <w:sz w:val="24"/>
              </w:rPr>
            </w:pPr>
            <w:r w:rsidRPr="00BA4FFB">
              <w:rPr>
                <w:rFonts w:ascii="Century" w:hAnsi="Century" w:cs="Calibri"/>
                <w:color w:val="000000"/>
                <w:sz w:val="24"/>
              </w:rPr>
              <w:t>ДУ «ЛОЦКПХ МОЗ»</w:t>
            </w:r>
          </w:p>
        </w:tc>
        <w:tc>
          <w:tcPr>
            <w:tcW w:w="1276" w:type="dxa"/>
            <w:tcBorders>
              <w:top w:val="nil"/>
              <w:left w:val="nil"/>
              <w:bottom w:val="single" w:sz="4" w:space="0" w:color="auto"/>
              <w:right w:val="single" w:sz="4" w:space="0" w:color="auto"/>
            </w:tcBorders>
            <w:shd w:val="clear" w:color="auto" w:fill="auto"/>
            <w:vAlign w:val="center"/>
            <w:hideMark/>
          </w:tcPr>
          <w:p w14:paraId="56638B5D" w14:textId="77777777" w:rsidR="00BA4FFB" w:rsidRPr="00BA4FFB" w:rsidRDefault="00BA4FFB" w:rsidP="00BA4FFB">
            <w:pPr>
              <w:spacing w:line="240" w:lineRule="auto"/>
              <w:jc w:val="right"/>
              <w:rPr>
                <w:rFonts w:ascii="Century" w:hAnsi="Century" w:cs="Calibri"/>
                <w:color w:val="000000"/>
                <w:sz w:val="24"/>
              </w:rPr>
            </w:pPr>
            <w:r w:rsidRPr="00BA4FFB">
              <w:rPr>
                <w:rFonts w:ascii="Century" w:hAnsi="Century" w:cs="Calibri"/>
                <w:color w:val="000000"/>
                <w:sz w:val="24"/>
              </w:rPr>
              <w:t>2025</w:t>
            </w:r>
          </w:p>
        </w:tc>
        <w:tc>
          <w:tcPr>
            <w:tcW w:w="2268" w:type="dxa"/>
            <w:tcBorders>
              <w:top w:val="nil"/>
              <w:left w:val="nil"/>
              <w:bottom w:val="single" w:sz="4" w:space="0" w:color="auto"/>
              <w:right w:val="single" w:sz="4" w:space="0" w:color="auto"/>
            </w:tcBorders>
            <w:shd w:val="clear" w:color="auto" w:fill="auto"/>
            <w:vAlign w:val="center"/>
            <w:hideMark/>
          </w:tcPr>
          <w:p w14:paraId="43E643D4"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288 тис.грн</w:t>
            </w:r>
          </w:p>
        </w:tc>
        <w:tc>
          <w:tcPr>
            <w:tcW w:w="236" w:type="dxa"/>
            <w:vAlign w:val="center"/>
            <w:hideMark/>
          </w:tcPr>
          <w:p w14:paraId="73C4FC12" w14:textId="77777777" w:rsidR="00BA4FFB" w:rsidRPr="00BA4FFB" w:rsidRDefault="00BA4FFB" w:rsidP="00BA4FFB">
            <w:pPr>
              <w:spacing w:line="240" w:lineRule="auto"/>
              <w:rPr>
                <w:sz w:val="20"/>
                <w:szCs w:val="20"/>
              </w:rPr>
            </w:pPr>
          </w:p>
        </w:tc>
      </w:tr>
      <w:tr w:rsidR="00BA4FFB" w:rsidRPr="00BA4FFB" w14:paraId="618E6643" w14:textId="77777777" w:rsidTr="00BA4FFB">
        <w:trPr>
          <w:cantSplit/>
          <w:trHeight w:val="20"/>
        </w:trPr>
        <w:tc>
          <w:tcPr>
            <w:tcW w:w="722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B3599D3" w14:textId="77777777" w:rsidR="00BA4FFB" w:rsidRPr="00BA4FFB" w:rsidRDefault="00BA4FFB" w:rsidP="00BA4FFB">
            <w:pPr>
              <w:spacing w:line="240" w:lineRule="auto"/>
              <w:rPr>
                <w:rFonts w:ascii="Century" w:hAnsi="Century" w:cs="Calibri"/>
                <w:b/>
                <w:bCs/>
                <w:color w:val="000000"/>
                <w:sz w:val="24"/>
              </w:rPr>
            </w:pPr>
            <w:r w:rsidRPr="00BA4FFB">
              <w:rPr>
                <w:rFonts w:ascii="Century" w:hAnsi="Century" w:cs="Calibri"/>
                <w:b/>
                <w:bCs/>
                <w:color w:val="000000"/>
                <w:sz w:val="24"/>
              </w:rPr>
              <w:t>ВСЬОГО</w:t>
            </w:r>
          </w:p>
        </w:tc>
        <w:tc>
          <w:tcPr>
            <w:tcW w:w="2268" w:type="dxa"/>
            <w:tcBorders>
              <w:top w:val="nil"/>
              <w:left w:val="nil"/>
              <w:bottom w:val="single" w:sz="4" w:space="0" w:color="auto"/>
              <w:right w:val="single" w:sz="4" w:space="0" w:color="auto"/>
            </w:tcBorders>
            <w:shd w:val="clear" w:color="auto" w:fill="auto"/>
            <w:vAlign w:val="center"/>
            <w:hideMark/>
          </w:tcPr>
          <w:p w14:paraId="725B0193" w14:textId="77777777" w:rsidR="00BA4FFB" w:rsidRPr="00BA4FFB" w:rsidRDefault="00BA4FFB" w:rsidP="00BA4FFB">
            <w:pPr>
              <w:spacing w:line="240" w:lineRule="auto"/>
              <w:rPr>
                <w:rFonts w:ascii="Century" w:hAnsi="Century" w:cs="Calibri"/>
                <w:b/>
                <w:bCs/>
                <w:color w:val="000000"/>
                <w:sz w:val="24"/>
                <w:u w:val="single"/>
              </w:rPr>
            </w:pPr>
            <w:r w:rsidRPr="00BA4FFB">
              <w:rPr>
                <w:rFonts w:ascii="Century" w:hAnsi="Century" w:cs="Calibri"/>
                <w:b/>
                <w:bCs/>
                <w:color w:val="000000"/>
                <w:sz w:val="24"/>
                <w:u w:val="single"/>
              </w:rPr>
              <w:t>5 млн 317 тис.грн</w:t>
            </w:r>
          </w:p>
        </w:tc>
        <w:tc>
          <w:tcPr>
            <w:tcW w:w="236" w:type="dxa"/>
            <w:vAlign w:val="center"/>
            <w:hideMark/>
          </w:tcPr>
          <w:p w14:paraId="28586103" w14:textId="77777777" w:rsidR="00BA4FFB" w:rsidRPr="00BA4FFB" w:rsidRDefault="00BA4FFB" w:rsidP="00BA4FFB">
            <w:pPr>
              <w:spacing w:line="240" w:lineRule="auto"/>
              <w:rPr>
                <w:sz w:val="20"/>
                <w:szCs w:val="20"/>
              </w:rPr>
            </w:pPr>
          </w:p>
        </w:tc>
      </w:tr>
    </w:tbl>
    <w:p w14:paraId="2E72A5C4" w14:textId="77777777" w:rsidR="00BA4FFB" w:rsidRDefault="00BA4FFB" w:rsidP="00BA4FFB">
      <w:pPr>
        <w:pBdr>
          <w:top w:val="nil"/>
          <w:left w:val="nil"/>
          <w:bottom w:val="nil"/>
          <w:right w:val="nil"/>
          <w:between w:val="nil"/>
        </w:pBdr>
        <w:spacing w:line="240" w:lineRule="auto"/>
        <w:rPr>
          <w:rFonts w:ascii="Century" w:hAnsi="Century"/>
          <w:color w:val="000000"/>
          <w:szCs w:val="28"/>
        </w:rPr>
      </w:pPr>
    </w:p>
    <w:p w14:paraId="5109F3FF" w14:textId="77777777" w:rsidR="00BA4FFB" w:rsidRDefault="00BA4FFB" w:rsidP="00BA4FFB">
      <w:pPr>
        <w:pBdr>
          <w:top w:val="nil"/>
          <w:left w:val="nil"/>
          <w:bottom w:val="nil"/>
          <w:right w:val="nil"/>
          <w:between w:val="nil"/>
        </w:pBdr>
        <w:spacing w:line="240" w:lineRule="auto"/>
        <w:rPr>
          <w:rFonts w:ascii="Century" w:hAnsi="Century"/>
          <w:color w:val="000000"/>
          <w:szCs w:val="28"/>
        </w:rPr>
      </w:pPr>
    </w:p>
    <w:p w14:paraId="56E6B921" w14:textId="50B121B6" w:rsidR="00BA4FFB" w:rsidRPr="00BA4FFB" w:rsidRDefault="00BA4FFB" w:rsidP="00BA4FFB">
      <w:pPr>
        <w:pBdr>
          <w:top w:val="nil"/>
          <w:left w:val="nil"/>
          <w:bottom w:val="nil"/>
          <w:right w:val="nil"/>
          <w:between w:val="nil"/>
        </w:pBdr>
        <w:spacing w:line="240" w:lineRule="auto"/>
        <w:rPr>
          <w:rFonts w:ascii="Century" w:hAnsi="Century"/>
          <w:b/>
          <w:bCs/>
          <w:color w:val="000000"/>
          <w:szCs w:val="28"/>
        </w:rPr>
      </w:pPr>
      <w:r w:rsidRPr="00BA4FFB">
        <w:rPr>
          <w:rFonts w:ascii="Century" w:hAnsi="Century"/>
          <w:b/>
          <w:bCs/>
          <w:color w:val="000000"/>
          <w:szCs w:val="28"/>
        </w:rPr>
        <w:t>Секретар ради</w:t>
      </w:r>
      <w:r w:rsidRPr="00BA4FFB">
        <w:rPr>
          <w:rFonts w:ascii="Century" w:hAnsi="Century"/>
          <w:b/>
          <w:bCs/>
          <w:color w:val="000000"/>
          <w:szCs w:val="28"/>
        </w:rPr>
        <w:tab/>
      </w:r>
      <w:r w:rsidRPr="00BA4FFB">
        <w:rPr>
          <w:rFonts w:ascii="Century" w:hAnsi="Century"/>
          <w:b/>
          <w:bCs/>
          <w:color w:val="000000"/>
          <w:szCs w:val="28"/>
        </w:rPr>
        <w:tab/>
      </w:r>
      <w:r w:rsidRPr="00BA4FFB">
        <w:rPr>
          <w:rFonts w:ascii="Century" w:hAnsi="Century"/>
          <w:b/>
          <w:bCs/>
          <w:color w:val="000000"/>
          <w:szCs w:val="28"/>
        </w:rPr>
        <w:tab/>
      </w:r>
      <w:r w:rsidRPr="00BA4FFB">
        <w:rPr>
          <w:rFonts w:ascii="Century" w:hAnsi="Century"/>
          <w:b/>
          <w:bCs/>
          <w:color w:val="000000"/>
          <w:szCs w:val="28"/>
        </w:rPr>
        <w:tab/>
      </w:r>
      <w:r w:rsidRPr="00BA4FFB">
        <w:rPr>
          <w:rFonts w:ascii="Century" w:hAnsi="Century"/>
          <w:b/>
          <w:bCs/>
          <w:color w:val="000000"/>
          <w:szCs w:val="28"/>
        </w:rPr>
        <w:tab/>
      </w:r>
      <w:r w:rsidRPr="00BA4FFB">
        <w:rPr>
          <w:rFonts w:ascii="Century" w:hAnsi="Century"/>
          <w:b/>
          <w:bCs/>
          <w:color w:val="000000"/>
          <w:szCs w:val="28"/>
        </w:rPr>
        <w:tab/>
      </w:r>
      <w:r>
        <w:rPr>
          <w:rFonts w:ascii="Century" w:hAnsi="Century"/>
          <w:b/>
          <w:bCs/>
          <w:color w:val="000000"/>
          <w:szCs w:val="28"/>
        </w:rPr>
        <w:tab/>
      </w:r>
      <w:r w:rsidRPr="00BA4FFB">
        <w:rPr>
          <w:rFonts w:ascii="Century" w:hAnsi="Century"/>
          <w:b/>
          <w:bCs/>
          <w:color w:val="000000"/>
          <w:szCs w:val="28"/>
        </w:rPr>
        <w:t>Микола ЛУПІЙ</w:t>
      </w:r>
    </w:p>
    <w:sectPr w:rsidR="00BA4FFB" w:rsidRPr="00BA4FFB" w:rsidSect="000458A7">
      <w:headerReference w:type="default" r:id="rId8"/>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72F8A" w14:textId="77777777" w:rsidR="00B030FB" w:rsidRDefault="00B030FB" w:rsidP="000458A7">
      <w:pPr>
        <w:spacing w:line="240" w:lineRule="auto"/>
      </w:pPr>
      <w:r>
        <w:separator/>
      </w:r>
    </w:p>
  </w:endnote>
  <w:endnote w:type="continuationSeparator" w:id="0">
    <w:p w14:paraId="4C8F98D7" w14:textId="77777777" w:rsidR="00B030FB" w:rsidRDefault="00B030FB" w:rsidP="000458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Open Sans">
    <w:altName w:val="Times New Roman"/>
    <w:charset w:val="00"/>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D95B9" w14:textId="77777777" w:rsidR="00B030FB" w:rsidRDefault="00B030FB" w:rsidP="000458A7">
      <w:pPr>
        <w:spacing w:line="240" w:lineRule="auto"/>
      </w:pPr>
      <w:r>
        <w:separator/>
      </w:r>
    </w:p>
  </w:footnote>
  <w:footnote w:type="continuationSeparator" w:id="0">
    <w:p w14:paraId="006C4DBB" w14:textId="77777777" w:rsidR="00B030FB" w:rsidRDefault="00B030FB" w:rsidP="000458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375686"/>
      <w:docPartObj>
        <w:docPartGallery w:val="Page Numbers (Top of Page)"/>
        <w:docPartUnique/>
      </w:docPartObj>
    </w:sdtPr>
    <w:sdtContent>
      <w:p w14:paraId="3AF90BD0" w14:textId="33C66258" w:rsidR="000458A7" w:rsidRDefault="000458A7">
        <w:pPr>
          <w:pStyle w:val="a8"/>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AA3270"/>
    <w:multiLevelType w:val="multilevel"/>
    <w:tmpl w:val="113EDCE0"/>
    <w:lvl w:ilvl="0">
      <w:start w:val="1"/>
      <w:numFmt w:val="decimal"/>
      <w:lvlText w:val="%1."/>
      <w:lvlJc w:val="left"/>
      <w:pPr>
        <w:ind w:left="720" w:hanging="360"/>
      </w:pPr>
      <w:rPr>
        <w:b/>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1" w15:restartNumberingAfterBreak="0">
    <w:nsid w:val="4E487080"/>
    <w:multiLevelType w:val="multilevel"/>
    <w:tmpl w:val="4F76F0A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587C5BB5"/>
    <w:multiLevelType w:val="multilevel"/>
    <w:tmpl w:val="113EDCE0"/>
    <w:lvl w:ilvl="0">
      <w:start w:val="1"/>
      <w:numFmt w:val="decimal"/>
      <w:lvlText w:val="%1."/>
      <w:lvlJc w:val="left"/>
      <w:pPr>
        <w:ind w:left="720" w:hanging="360"/>
      </w:pPr>
      <w:rPr>
        <w:b/>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3" w15:restartNumberingAfterBreak="0">
    <w:nsid w:val="6E13199E"/>
    <w:multiLevelType w:val="multilevel"/>
    <w:tmpl w:val="877E7C78"/>
    <w:lvl w:ilvl="0">
      <w:start w:val="1"/>
      <w:numFmt w:val="decimal"/>
      <w:lvlText w:val="%1."/>
      <w:lvlJc w:val="left"/>
      <w:pPr>
        <w:ind w:left="3240" w:hanging="360"/>
      </w:pPr>
    </w:lvl>
    <w:lvl w:ilvl="1">
      <w:start w:val="1"/>
      <w:numFmt w:val="lowerLetter"/>
      <w:lvlText w:val="%2."/>
      <w:lvlJc w:val="left"/>
      <w:pPr>
        <w:ind w:left="3960" w:hanging="360"/>
      </w:pPr>
    </w:lvl>
    <w:lvl w:ilvl="2">
      <w:start w:val="1"/>
      <w:numFmt w:val="lowerRoman"/>
      <w:lvlText w:val="%3."/>
      <w:lvlJc w:val="right"/>
      <w:pPr>
        <w:ind w:left="4680" w:hanging="180"/>
      </w:pPr>
    </w:lvl>
    <w:lvl w:ilvl="3">
      <w:start w:val="1"/>
      <w:numFmt w:val="decimal"/>
      <w:lvlText w:val="%4."/>
      <w:lvlJc w:val="left"/>
      <w:pPr>
        <w:ind w:left="5400" w:hanging="360"/>
      </w:pPr>
    </w:lvl>
    <w:lvl w:ilvl="4">
      <w:start w:val="1"/>
      <w:numFmt w:val="lowerLetter"/>
      <w:lvlText w:val="%5."/>
      <w:lvlJc w:val="left"/>
      <w:pPr>
        <w:ind w:left="6120" w:hanging="360"/>
      </w:pPr>
    </w:lvl>
    <w:lvl w:ilvl="5">
      <w:start w:val="1"/>
      <w:numFmt w:val="lowerRoman"/>
      <w:lvlText w:val="%6."/>
      <w:lvlJc w:val="right"/>
      <w:pPr>
        <w:ind w:left="6840" w:hanging="180"/>
      </w:pPr>
    </w:lvl>
    <w:lvl w:ilvl="6">
      <w:start w:val="1"/>
      <w:numFmt w:val="decimal"/>
      <w:lvlText w:val="%7."/>
      <w:lvlJc w:val="left"/>
      <w:pPr>
        <w:ind w:left="7560" w:hanging="360"/>
      </w:pPr>
    </w:lvl>
    <w:lvl w:ilvl="7">
      <w:start w:val="1"/>
      <w:numFmt w:val="lowerLetter"/>
      <w:lvlText w:val="%8."/>
      <w:lvlJc w:val="left"/>
      <w:pPr>
        <w:ind w:left="8280" w:hanging="360"/>
      </w:pPr>
    </w:lvl>
    <w:lvl w:ilvl="8">
      <w:start w:val="1"/>
      <w:numFmt w:val="lowerRoman"/>
      <w:lvlText w:val="%9."/>
      <w:lvlJc w:val="right"/>
      <w:pPr>
        <w:ind w:left="9000" w:hanging="180"/>
      </w:pPr>
    </w:lvl>
  </w:abstractNum>
  <w:num w:numId="1" w16cid:durableId="1421682841">
    <w:abstractNumId w:val="3"/>
  </w:num>
  <w:num w:numId="2" w16cid:durableId="1885093793">
    <w:abstractNumId w:val="1"/>
  </w:num>
  <w:num w:numId="3" w16cid:durableId="18867477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21332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811"/>
    <w:rsid w:val="000458A7"/>
    <w:rsid w:val="001F31D4"/>
    <w:rsid w:val="002A5F75"/>
    <w:rsid w:val="002E53DE"/>
    <w:rsid w:val="003A186C"/>
    <w:rsid w:val="00507C9D"/>
    <w:rsid w:val="00526DA9"/>
    <w:rsid w:val="0061355B"/>
    <w:rsid w:val="006323F9"/>
    <w:rsid w:val="00862811"/>
    <w:rsid w:val="008A4AF4"/>
    <w:rsid w:val="009044F5"/>
    <w:rsid w:val="0091540E"/>
    <w:rsid w:val="00B030FB"/>
    <w:rsid w:val="00BA4FFB"/>
    <w:rsid w:val="00BA5FCD"/>
    <w:rsid w:val="00CE7ADA"/>
    <w:rsid w:val="00D50C9A"/>
    <w:rsid w:val="00DE5ABB"/>
    <w:rsid w:val="00F900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3B6E"/>
  <w15:docId w15:val="{F5B15328-423E-4900-9D8F-3AC403CEC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2811"/>
    <w:pPr>
      <w:spacing w:after="0" w:line="288" w:lineRule="auto"/>
    </w:pPr>
    <w:rPr>
      <w:rFonts w:ascii="Times New Roman" w:eastAsia="Times New Roman" w:hAnsi="Times New Roman" w:cs="Times New Roman"/>
      <w:sz w:val="28"/>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62811"/>
    <w:pPr>
      <w:ind w:right="3982"/>
      <w:jc w:val="both"/>
    </w:pPr>
    <w:rPr>
      <w:b/>
    </w:rPr>
  </w:style>
  <w:style w:type="character" w:customStyle="1" w:styleId="a4">
    <w:name w:val="Основний текст Знак"/>
    <w:basedOn w:val="a0"/>
    <w:link w:val="a3"/>
    <w:rsid w:val="00862811"/>
    <w:rPr>
      <w:rFonts w:ascii="Times New Roman" w:eastAsia="Times New Roman" w:hAnsi="Times New Roman" w:cs="Times New Roman"/>
      <w:b/>
      <w:sz w:val="28"/>
      <w:szCs w:val="24"/>
      <w:lang w:eastAsia="uk-UA"/>
    </w:rPr>
  </w:style>
  <w:style w:type="paragraph" w:styleId="2">
    <w:name w:val="Body Text 2"/>
    <w:basedOn w:val="a"/>
    <w:link w:val="20"/>
    <w:rsid w:val="00862811"/>
    <w:pPr>
      <w:jc w:val="both"/>
    </w:pPr>
  </w:style>
  <w:style w:type="character" w:customStyle="1" w:styleId="20">
    <w:name w:val="Основний текст 2 Знак"/>
    <w:basedOn w:val="a0"/>
    <w:link w:val="2"/>
    <w:rsid w:val="00862811"/>
    <w:rPr>
      <w:rFonts w:ascii="Times New Roman" w:eastAsia="Times New Roman" w:hAnsi="Times New Roman" w:cs="Times New Roman"/>
      <w:sz w:val="28"/>
      <w:szCs w:val="24"/>
      <w:lang w:eastAsia="uk-UA"/>
    </w:rPr>
  </w:style>
  <w:style w:type="paragraph" w:styleId="3">
    <w:name w:val="Body Text 3"/>
    <w:basedOn w:val="a"/>
    <w:link w:val="30"/>
    <w:rsid w:val="00862811"/>
    <w:pPr>
      <w:ind w:right="-801"/>
    </w:pPr>
  </w:style>
  <w:style w:type="character" w:customStyle="1" w:styleId="30">
    <w:name w:val="Основний текст 3 Знак"/>
    <w:basedOn w:val="a0"/>
    <w:link w:val="3"/>
    <w:rsid w:val="00862811"/>
    <w:rPr>
      <w:rFonts w:ascii="Times New Roman" w:eastAsia="Times New Roman" w:hAnsi="Times New Roman" w:cs="Times New Roman"/>
      <w:sz w:val="28"/>
      <w:szCs w:val="24"/>
      <w:lang w:eastAsia="uk-UA"/>
    </w:rPr>
  </w:style>
  <w:style w:type="paragraph" w:customStyle="1" w:styleId="1">
    <w:name w:val="Абзац списка1"/>
    <w:basedOn w:val="a"/>
    <w:rsid w:val="00862811"/>
    <w:pPr>
      <w:spacing w:line="240" w:lineRule="auto"/>
      <w:ind w:left="720"/>
    </w:pPr>
    <w:rPr>
      <w:rFonts w:eastAsia="Calibri"/>
      <w:sz w:val="24"/>
      <w:lang w:val="ru-RU" w:eastAsia="ru-RU"/>
    </w:rPr>
  </w:style>
  <w:style w:type="paragraph" w:styleId="a5">
    <w:name w:val="Balloon Text"/>
    <w:basedOn w:val="a"/>
    <w:link w:val="a6"/>
    <w:uiPriority w:val="99"/>
    <w:semiHidden/>
    <w:unhideWhenUsed/>
    <w:rsid w:val="00862811"/>
    <w:pPr>
      <w:spacing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862811"/>
    <w:rPr>
      <w:rFonts w:ascii="Tahoma" w:eastAsia="Times New Roman" w:hAnsi="Tahoma" w:cs="Tahoma"/>
      <w:sz w:val="16"/>
      <w:szCs w:val="16"/>
      <w:lang w:eastAsia="uk-UA"/>
    </w:rPr>
  </w:style>
  <w:style w:type="paragraph" w:customStyle="1" w:styleId="10">
    <w:name w:val="Звичайний1"/>
    <w:rsid w:val="00BA5FCD"/>
    <w:pPr>
      <w:spacing w:after="0" w:line="240" w:lineRule="auto"/>
    </w:pPr>
    <w:rPr>
      <w:rFonts w:ascii="Times New Roman" w:eastAsia="Times New Roman" w:hAnsi="Times New Roman" w:cs="Times New Roman"/>
      <w:sz w:val="20"/>
      <w:szCs w:val="20"/>
      <w:lang w:eastAsia="uk-UA"/>
    </w:rPr>
  </w:style>
  <w:style w:type="paragraph" w:styleId="a7">
    <w:name w:val="List Paragraph"/>
    <w:basedOn w:val="a"/>
    <w:uiPriority w:val="34"/>
    <w:qFormat/>
    <w:rsid w:val="006323F9"/>
    <w:pPr>
      <w:ind w:left="720"/>
      <w:contextualSpacing/>
    </w:pPr>
  </w:style>
  <w:style w:type="paragraph" w:styleId="a8">
    <w:name w:val="header"/>
    <w:basedOn w:val="a"/>
    <w:link w:val="a9"/>
    <w:uiPriority w:val="99"/>
    <w:unhideWhenUsed/>
    <w:rsid w:val="000458A7"/>
    <w:pPr>
      <w:tabs>
        <w:tab w:val="center" w:pos="4819"/>
        <w:tab w:val="right" w:pos="9639"/>
      </w:tabs>
      <w:spacing w:line="240" w:lineRule="auto"/>
    </w:pPr>
  </w:style>
  <w:style w:type="character" w:customStyle="1" w:styleId="a9">
    <w:name w:val="Верхній колонтитул Знак"/>
    <w:basedOn w:val="a0"/>
    <w:link w:val="a8"/>
    <w:uiPriority w:val="99"/>
    <w:rsid w:val="000458A7"/>
    <w:rPr>
      <w:rFonts w:ascii="Times New Roman" w:eastAsia="Times New Roman" w:hAnsi="Times New Roman" w:cs="Times New Roman"/>
      <w:sz w:val="28"/>
      <w:szCs w:val="24"/>
      <w:lang w:eastAsia="uk-UA"/>
    </w:rPr>
  </w:style>
  <w:style w:type="paragraph" w:styleId="aa">
    <w:name w:val="footer"/>
    <w:basedOn w:val="a"/>
    <w:link w:val="ab"/>
    <w:uiPriority w:val="99"/>
    <w:unhideWhenUsed/>
    <w:rsid w:val="000458A7"/>
    <w:pPr>
      <w:tabs>
        <w:tab w:val="center" w:pos="4819"/>
        <w:tab w:val="right" w:pos="9639"/>
      </w:tabs>
      <w:spacing w:line="240" w:lineRule="auto"/>
    </w:pPr>
  </w:style>
  <w:style w:type="character" w:customStyle="1" w:styleId="ab">
    <w:name w:val="Нижній колонтитул Знак"/>
    <w:basedOn w:val="a0"/>
    <w:link w:val="aa"/>
    <w:uiPriority w:val="99"/>
    <w:rsid w:val="000458A7"/>
    <w:rPr>
      <w:rFonts w:ascii="Times New Roman" w:eastAsia="Times New Roman" w:hAnsi="Times New Roman" w:cs="Times New Roman"/>
      <w:sz w:val="28"/>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898388">
      <w:bodyDiv w:val="1"/>
      <w:marLeft w:val="0"/>
      <w:marRight w:val="0"/>
      <w:marTop w:val="0"/>
      <w:marBottom w:val="0"/>
      <w:divBdr>
        <w:top w:val="none" w:sz="0" w:space="0" w:color="auto"/>
        <w:left w:val="none" w:sz="0" w:space="0" w:color="auto"/>
        <w:bottom w:val="none" w:sz="0" w:space="0" w:color="auto"/>
        <w:right w:val="none" w:sz="0" w:space="0" w:color="auto"/>
      </w:divBdr>
    </w:div>
    <w:div w:id="47522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13020</Words>
  <Characters>7422</Characters>
  <Application>Microsoft Office Word</Application>
  <DocSecurity>0</DocSecurity>
  <Lines>61</Lines>
  <Paragraphs>40</Paragraphs>
  <ScaleCrop>false</ScaleCrop>
  <Company>Grizli777</Company>
  <LinksUpToDate>false</LinksUpToDate>
  <CharactersWithSpaces>20402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Secretary</cp:lastModifiedBy>
  <cp:revision>3</cp:revision>
  <dcterms:created xsi:type="dcterms:W3CDTF">2025-04-24T10:41:00Z</dcterms:created>
  <dcterms:modified xsi:type="dcterms:W3CDTF">2025-05-01T06:24:00Z</dcterms:modified>
</cp:coreProperties>
</file>