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CB3C6" w14:textId="77777777" w:rsidR="00FE3A2D" w:rsidRPr="00FE3A2D" w:rsidRDefault="00FE3A2D" w:rsidP="00FE3A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bookmarkStart w:id="0" w:name="_heading=h.gjdgxs" w:colFirst="0" w:colLast="0"/>
      <w:bookmarkEnd w:id="0"/>
      <w:r w:rsidRPr="00FE3A2D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495FADA" wp14:editId="78C546D9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A99DDA" w14:textId="77777777" w:rsidR="00FE3A2D" w:rsidRPr="00FE3A2D" w:rsidRDefault="00FE3A2D" w:rsidP="00FE3A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FE3A2D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431995C1" w14:textId="77777777" w:rsidR="00FE3A2D" w:rsidRPr="00FE3A2D" w:rsidRDefault="00FE3A2D" w:rsidP="00FE3A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FE3A2D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4792D39F" w14:textId="77777777" w:rsidR="00FE3A2D" w:rsidRPr="00FE3A2D" w:rsidRDefault="00FE3A2D" w:rsidP="00FE3A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FE3A2D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66CD51AD" w14:textId="77777777" w:rsidR="00FE3A2D" w:rsidRPr="00FE3A2D" w:rsidRDefault="00FE3A2D" w:rsidP="00FE3A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FE3A2D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64 </w:t>
      </w:r>
      <w:r w:rsidRPr="00FE3A2D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6DC34EA9" w14:textId="77777777" w:rsidR="00FE3A2D" w:rsidRPr="00FE3A2D" w:rsidRDefault="00FE3A2D" w:rsidP="00FE3A2D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FE3A2D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FE3A2D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FE3A2D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FE3A2D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25/64-</w:t>
      </w:r>
    </w:p>
    <w:p w14:paraId="78AD8A0D" w14:textId="77777777" w:rsidR="00FE3A2D" w:rsidRPr="00FE3A2D" w:rsidRDefault="00FE3A2D" w:rsidP="00FE3A2D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FE3A2D">
        <w:rPr>
          <w:rFonts w:ascii="Century" w:eastAsia="Century" w:hAnsi="Century" w:cs="Century"/>
          <w:sz w:val="28"/>
          <w:szCs w:val="28"/>
          <w:lang w:eastAsia="uk-UA"/>
        </w:rPr>
        <w:t>26 червня 2025 року</w:t>
      </w:r>
      <w:r w:rsidRPr="00FE3A2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E3A2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E3A2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E3A2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E3A2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E3A2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E3A2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E3A2D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23CB087B" w14:textId="353CE94F" w:rsidR="00AB4989" w:rsidRPr="00FE3A2D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FE3A2D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E35505" w:rsidRPr="00FE3A2D">
        <w:rPr>
          <w:rFonts w:ascii="Century" w:hAnsi="Century"/>
          <w:b/>
          <w:bCs/>
          <w:sz w:val="28"/>
          <w:szCs w:val="28"/>
          <w:lang w:eastAsia="uk-UA"/>
        </w:rPr>
        <w:t>затвердження</w:t>
      </w:r>
      <w:r w:rsidR="00B13E1B" w:rsidRPr="00FE3A2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bookmarkStart w:id="2" w:name="_Hlk201571805"/>
      <w:r w:rsidR="00B13E1B" w:rsidRPr="00FE3A2D">
        <w:rPr>
          <w:rFonts w:ascii="Century" w:hAnsi="Century"/>
          <w:b/>
          <w:bCs/>
          <w:sz w:val="28"/>
          <w:szCs w:val="28"/>
          <w:lang w:eastAsia="uk-UA"/>
        </w:rPr>
        <w:t>Програми</w:t>
      </w:r>
      <w:r w:rsidR="00737D87" w:rsidRPr="00FE3A2D">
        <w:rPr>
          <w:rFonts w:ascii="Century" w:hAnsi="Century"/>
          <w:b/>
          <w:bCs/>
          <w:sz w:val="28"/>
          <w:szCs w:val="28"/>
          <w:lang w:eastAsia="uk-UA"/>
        </w:rPr>
        <w:t xml:space="preserve"> із забезпечення </w:t>
      </w:r>
      <w:r w:rsidR="001509F4" w:rsidRPr="00FE3A2D">
        <w:rPr>
          <w:rFonts w:ascii="Century" w:hAnsi="Century"/>
          <w:b/>
          <w:bCs/>
          <w:sz w:val="28"/>
          <w:szCs w:val="28"/>
          <w:lang w:eastAsia="uk-UA"/>
        </w:rPr>
        <w:t xml:space="preserve">учасників бойових дій </w:t>
      </w:r>
      <w:r w:rsidR="00737D87" w:rsidRPr="00FE3A2D">
        <w:rPr>
          <w:rFonts w:ascii="Century" w:hAnsi="Century"/>
          <w:b/>
          <w:bCs/>
          <w:sz w:val="28"/>
          <w:szCs w:val="28"/>
          <w:lang w:eastAsia="uk-UA"/>
        </w:rPr>
        <w:t xml:space="preserve">послугами з </w:t>
      </w:r>
      <w:proofErr w:type="spellStart"/>
      <w:r w:rsidR="00737D87" w:rsidRPr="00FE3A2D">
        <w:rPr>
          <w:rFonts w:ascii="Century" w:hAnsi="Century"/>
          <w:b/>
          <w:bCs/>
          <w:sz w:val="28"/>
          <w:szCs w:val="28"/>
          <w:lang w:eastAsia="uk-UA"/>
        </w:rPr>
        <w:t>ендопротезування</w:t>
      </w:r>
      <w:proofErr w:type="spellEnd"/>
      <w:r w:rsidR="00737D87" w:rsidRPr="00FE3A2D">
        <w:rPr>
          <w:rFonts w:ascii="Century" w:hAnsi="Century"/>
          <w:b/>
          <w:bCs/>
          <w:sz w:val="28"/>
          <w:szCs w:val="28"/>
          <w:lang w:eastAsia="uk-UA"/>
        </w:rPr>
        <w:t xml:space="preserve"> суглобів в КНП «Городоцька ЦЛ»</w:t>
      </w:r>
      <w:r w:rsidRPr="00FE3A2D">
        <w:rPr>
          <w:rFonts w:ascii="Century" w:hAnsi="Century"/>
          <w:b/>
          <w:bCs/>
          <w:sz w:val="28"/>
          <w:szCs w:val="28"/>
          <w:lang w:eastAsia="uk-UA"/>
        </w:rPr>
        <w:t xml:space="preserve"> на 202</w:t>
      </w:r>
      <w:r w:rsidR="00A3050E" w:rsidRPr="00FE3A2D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="00C77EA7" w:rsidRPr="00FE3A2D">
        <w:rPr>
          <w:rFonts w:ascii="Century" w:hAnsi="Century"/>
          <w:b/>
          <w:bCs/>
          <w:sz w:val="28"/>
          <w:szCs w:val="28"/>
          <w:lang w:eastAsia="uk-UA"/>
        </w:rPr>
        <w:t xml:space="preserve"> р</w:t>
      </w:r>
      <w:r w:rsidR="00E35505" w:rsidRPr="00FE3A2D">
        <w:rPr>
          <w:rFonts w:ascii="Century" w:hAnsi="Century"/>
          <w:b/>
          <w:bCs/>
          <w:sz w:val="28"/>
          <w:szCs w:val="28"/>
          <w:lang w:eastAsia="uk-UA"/>
        </w:rPr>
        <w:t>ік</w:t>
      </w:r>
    </w:p>
    <w:bookmarkEnd w:id="2"/>
    <w:p w14:paraId="3F111AA5" w14:textId="77777777" w:rsidR="00AB4989" w:rsidRPr="00FE3A2D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4848AC74" w:rsidR="00497767" w:rsidRPr="00FE3A2D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FE3A2D">
        <w:rPr>
          <w:rFonts w:ascii="Century" w:hAnsi="Century"/>
          <w:sz w:val="28"/>
          <w:szCs w:val="28"/>
          <w:lang w:eastAsia="uk-UA"/>
        </w:rPr>
        <w:t>За</w:t>
      </w:r>
      <w:r w:rsidR="00E35505" w:rsidRPr="00FE3A2D">
        <w:rPr>
          <w:rFonts w:ascii="Century" w:hAnsi="Century"/>
          <w:sz w:val="28"/>
          <w:szCs w:val="28"/>
          <w:lang w:eastAsia="uk-UA"/>
        </w:rPr>
        <w:t>слухавши та обгово</w:t>
      </w:r>
      <w:r w:rsidR="00737D87" w:rsidRPr="00FE3A2D">
        <w:rPr>
          <w:rFonts w:ascii="Century" w:hAnsi="Century"/>
          <w:sz w:val="28"/>
          <w:szCs w:val="28"/>
          <w:lang w:eastAsia="uk-UA"/>
        </w:rPr>
        <w:t>ривши  Програму із забезпечення мешканців Городоцької територіальної громади</w:t>
      </w:r>
      <w:r w:rsidR="00E15F80" w:rsidRPr="00FE3A2D">
        <w:rPr>
          <w:rFonts w:ascii="Century" w:hAnsi="Century"/>
          <w:sz w:val="28"/>
          <w:szCs w:val="28"/>
          <w:lang w:eastAsia="uk-UA"/>
        </w:rPr>
        <w:t xml:space="preserve"> – учасників бойових </w:t>
      </w:r>
      <w:proofErr w:type="spellStart"/>
      <w:r w:rsidR="00E15F80" w:rsidRPr="00FE3A2D">
        <w:rPr>
          <w:rFonts w:ascii="Century" w:hAnsi="Century"/>
          <w:sz w:val="28"/>
          <w:szCs w:val="28"/>
          <w:lang w:eastAsia="uk-UA"/>
        </w:rPr>
        <w:t>дій,які</w:t>
      </w:r>
      <w:proofErr w:type="spellEnd"/>
      <w:r w:rsidR="00E15F80" w:rsidRPr="00FE3A2D">
        <w:rPr>
          <w:rFonts w:ascii="Century" w:hAnsi="Century"/>
          <w:sz w:val="28"/>
          <w:szCs w:val="28"/>
          <w:lang w:eastAsia="uk-UA"/>
        </w:rPr>
        <w:t xml:space="preserve"> не проходять службу в Збройних Силах України,</w:t>
      </w:r>
      <w:r w:rsidR="00737D87" w:rsidRPr="00FE3A2D">
        <w:rPr>
          <w:rFonts w:ascii="Century" w:hAnsi="Century"/>
          <w:sz w:val="28"/>
          <w:szCs w:val="28"/>
          <w:lang w:eastAsia="uk-UA"/>
        </w:rPr>
        <w:t xml:space="preserve"> послугами з </w:t>
      </w:r>
      <w:proofErr w:type="spellStart"/>
      <w:r w:rsidR="00737D87" w:rsidRPr="00FE3A2D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 w:rsidR="00737D87" w:rsidRPr="00FE3A2D">
        <w:rPr>
          <w:rFonts w:ascii="Century" w:hAnsi="Century"/>
          <w:sz w:val="28"/>
          <w:szCs w:val="28"/>
          <w:lang w:eastAsia="uk-UA"/>
        </w:rPr>
        <w:t xml:space="preserve"> суглобів в КНП «Городоцька ЦЛ»</w:t>
      </w:r>
      <w:r w:rsidRPr="00FE3A2D">
        <w:rPr>
          <w:rFonts w:ascii="Century" w:hAnsi="Century"/>
          <w:sz w:val="28"/>
          <w:szCs w:val="28"/>
          <w:lang w:eastAsia="uk-UA"/>
        </w:rPr>
        <w:t xml:space="preserve"> на 202</w:t>
      </w:r>
      <w:r w:rsidR="00E35505" w:rsidRPr="00FE3A2D">
        <w:rPr>
          <w:rFonts w:ascii="Century" w:hAnsi="Century"/>
          <w:sz w:val="28"/>
          <w:szCs w:val="28"/>
          <w:lang w:eastAsia="uk-UA"/>
        </w:rPr>
        <w:t>5 рік</w:t>
      </w:r>
      <w:r w:rsidRPr="00FE3A2D">
        <w:rPr>
          <w:rFonts w:ascii="Century" w:hAnsi="Century"/>
          <w:sz w:val="28"/>
          <w:szCs w:val="28"/>
          <w:lang w:eastAsia="uk-UA"/>
        </w:rPr>
        <w:t>,  з</w:t>
      </w:r>
      <w:r w:rsidR="00AB4989" w:rsidRPr="00FE3A2D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FE3A2D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FE3A2D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FE3A2D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FE3A2D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FE3A2D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FE3A2D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FE3A2D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FE3A2D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FE3A2D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FE3A2D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Pr="00FE3A2D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FE3A2D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FE3A2D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28B3AF18" w:rsidR="00AB4989" w:rsidRPr="00FE3A2D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FE3A2D">
        <w:rPr>
          <w:rFonts w:ascii="Century" w:hAnsi="Century"/>
          <w:sz w:val="28"/>
          <w:szCs w:val="28"/>
          <w:lang w:eastAsia="uk-UA"/>
        </w:rPr>
        <w:t>1.</w:t>
      </w:r>
      <w:r w:rsidR="00E35505" w:rsidRPr="00FE3A2D">
        <w:rPr>
          <w:rFonts w:ascii="Century" w:hAnsi="Century"/>
          <w:sz w:val="28"/>
          <w:szCs w:val="28"/>
          <w:lang w:eastAsia="uk-UA"/>
        </w:rPr>
        <w:t xml:space="preserve">Затвердити </w:t>
      </w:r>
      <w:r w:rsidR="007629CA" w:rsidRPr="00FE3A2D">
        <w:rPr>
          <w:rFonts w:ascii="Century" w:hAnsi="Century"/>
          <w:sz w:val="28"/>
          <w:szCs w:val="28"/>
          <w:lang w:eastAsia="uk-UA"/>
        </w:rPr>
        <w:t xml:space="preserve">Програми із забезпечення учасників бойових дій послугами з </w:t>
      </w:r>
      <w:proofErr w:type="spellStart"/>
      <w:r w:rsidR="007629CA" w:rsidRPr="00FE3A2D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 w:rsidR="007629CA" w:rsidRPr="00FE3A2D">
        <w:rPr>
          <w:rFonts w:ascii="Century" w:hAnsi="Century"/>
          <w:sz w:val="28"/>
          <w:szCs w:val="28"/>
          <w:lang w:eastAsia="uk-UA"/>
        </w:rPr>
        <w:t xml:space="preserve"> суглобів в КНП «Городоцька ЦЛ» на 2025 рік</w:t>
      </w:r>
      <w:r w:rsidR="00691D38" w:rsidRPr="00FE3A2D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FE3A2D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 w:rsidRPr="00FE3A2D">
        <w:rPr>
          <w:rFonts w:ascii="Century" w:hAnsi="Century"/>
          <w:sz w:val="28"/>
          <w:szCs w:val="28"/>
          <w:lang w:eastAsia="uk-UA"/>
        </w:rPr>
        <w:t>.</w:t>
      </w:r>
      <w:r w:rsidRPr="00FE3A2D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Pr="00FE3A2D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FE3A2D">
        <w:rPr>
          <w:rFonts w:ascii="Century" w:hAnsi="Century"/>
          <w:sz w:val="28"/>
          <w:szCs w:val="28"/>
          <w:lang w:eastAsia="uk-UA"/>
        </w:rPr>
        <w:t>2</w:t>
      </w:r>
      <w:r w:rsidR="006117F6" w:rsidRPr="00FE3A2D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FE3A2D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FE3A2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FE3A2D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FE3A2D">
        <w:rPr>
          <w:rFonts w:ascii="Century" w:hAnsi="Century"/>
          <w:sz w:val="28"/>
          <w:szCs w:val="28"/>
          <w:lang w:eastAsia="uk-UA"/>
        </w:rPr>
        <w:t>гол.В.Нік</w:t>
      </w:r>
      <w:r w:rsidR="00962D6E" w:rsidRPr="00FE3A2D">
        <w:rPr>
          <w:rFonts w:ascii="Century" w:hAnsi="Century"/>
          <w:sz w:val="28"/>
          <w:szCs w:val="28"/>
          <w:lang w:eastAsia="uk-UA"/>
        </w:rPr>
        <w:t>о</w:t>
      </w:r>
      <w:r w:rsidR="00497767" w:rsidRPr="00FE3A2D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FE3A2D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FE3A2D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FE3A2D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FE3A2D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FE3A2D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Pr="00FE3A2D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FE3A2D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7C7CE11D" w:rsidR="00962D6E" w:rsidRPr="00FE3A2D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FE3A2D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FE3A2D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FE3A2D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FE3A2D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FE3A2D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FE3A2D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FE3A2D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57627B9E" w14:textId="77777777" w:rsidR="00FE3A2D" w:rsidRDefault="00962D6E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FE3A2D"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FE3A2D"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782D321D" w14:textId="77777777" w:rsidR="00FE3A2D" w:rsidRPr="009366CA" w:rsidRDefault="00FE3A2D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78E87AF1" w14:textId="77777777" w:rsidR="00FE3A2D" w:rsidRPr="009366CA" w:rsidRDefault="00FE3A2D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26</w:t>
      </w:r>
      <w:r w:rsidRPr="009366CA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</w:rPr>
        <w:t>6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4</w:t>
      </w:r>
      <w:r w:rsidRPr="009366CA">
        <w:rPr>
          <w:rFonts w:ascii="Century" w:hAnsi="Century"/>
          <w:sz w:val="28"/>
          <w:szCs w:val="28"/>
        </w:rPr>
        <w:t xml:space="preserve">р. № </w:t>
      </w:r>
    </w:p>
    <w:p w14:paraId="68DF0660" w14:textId="09C16BDC" w:rsidR="00987DC5" w:rsidRPr="00FE3A2D" w:rsidRDefault="00987DC5" w:rsidP="00987DC5">
      <w:pPr>
        <w:jc w:val="center"/>
        <w:rPr>
          <w:rFonts w:ascii="Century" w:hAnsi="Century"/>
          <w:sz w:val="26"/>
          <w:szCs w:val="26"/>
        </w:rPr>
      </w:pPr>
    </w:p>
    <w:p w14:paraId="4F046FF5" w14:textId="77777777" w:rsidR="00987DC5" w:rsidRPr="00FE3A2D" w:rsidRDefault="00987DC5" w:rsidP="00987DC5">
      <w:pPr>
        <w:jc w:val="center"/>
        <w:rPr>
          <w:rFonts w:ascii="Century" w:hAnsi="Century"/>
          <w:sz w:val="28"/>
          <w:szCs w:val="28"/>
        </w:rPr>
      </w:pPr>
    </w:p>
    <w:p w14:paraId="7847F719" w14:textId="77777777" w:rsidR="00987DC5" w:rsidRPr="00FE3A2D" w:rsidRDefault="00987DC5" w:rsidP="00987DC5">
      <w:pPr>
        <w:jc w:val="center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 ПРОГРАМА</w:t>
      </w:r>
    </w:p>
    <w:p w14:paraId="44553771" w14:textId="62D43889" w:rsidR="00987DC5" w:rsidRPr="00FE3A2D" w:rsidRDefault="007629CA" w:rsidP="007629CA">
      <w:pPr>
        <w:jc w:val="center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із забезпечення учасників бойових дій послугами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суглобів в КНП «Городоцька ЦЛ» на 2025 рік</w:t>
      </w:r>
    </w:p>
    <w:p w14:paraId="143CD2E1" w14:textId="77777777" w:rsidR="00987DC5" w:rsidRPr="00FE3A2D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FE3A2D">
        <w:rPr>
          <w:rFonts w:ascii="Century" w:hAnsi="Century" w:cs="Arial"/>
          <w:b/>
          <w:sz w:val="28"/>
          <w:szCs w:val="28"/>
        </w:rPr>
        <w:t>1. Загальні положення</w:t>
      </w:r>
    </w:p>
    <w:p w14:paraId="58486905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 Програма із забезпечення мешканців Городоцької територіальної громади - учасників бойових дій, які не проходять службу в Збройних Силах України, послугами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суглобів на 2025 рік (надалі – Програма) розроблена на основі Бюджетного кодексу України, Законів України "Про місцеве самоврядування в Україні", "Основи законодавства України про охорону здоров'я" та передбачає забезпечення мешканців Городоцької територіальної громади - учасників бойових дій, які не проходять службу в Збройних Силах України, послугами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суглобів в умовах стаціонарного лікування у КНП «Городоцька ЦЛ» ГМР.</w:t>
      </w:r>
    </w:p>
    <w:p w14:paraId="6CF1D7AE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Травми, захворювання суглобів, надмірні фізичні навантаження, вікові зміни кістково-суглобової системи – все це позначається на здоров’ї суглобів і призводить до їх "зношування".</w:t>
      </w:r>
    </w:p>
    <w:p w14:paraId="14EC1983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proofErr w:type="spellStart"/>
      <w:r w:rsidRPr="00FE3A2D">
        <w:rPr>
          <w:rFonts w:ascii="Century" w:hAnsi="Century" w:cs="Arial"/>
          <w:sz w:val="28"/>
          <w:szCs w:val="28"/>
        </w:rPr>
        <w:t>Дегенеративно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-дистрофічні ураження суглобів належать до найбільш тяжких і поширених захворювань опорно-рухового апарату. Порушення функцій опори і рухливості нижніх кінцівок у хворих призводять до значного зменшення працездатності і підвищення рівня інвалідності. Серед хворих </w:t>
      </w:r>
      <w:proofErr w:type="spellStart"/>
      <w:r w:rsidRPr="00FE3A2D">
        <w:rPr>
          <w:rFonts w:ascii="Century" w:hAnsi="Century" w:cs="Arial"/>
          <w:sz w:val="28"/>
          <w:szCs w:val="28"/>
        </w:rPr>
        <w:t>коксартрозом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інвалідами першої групи є 7 % пацієнтів, другої – 60,1 %, третьої – 32,9 %, при цьому головною причиною повної втрати працездатності у    32,9 % хворих є двобічний </w:t>
      </w:r>
      <w:proofErr w:type="spellStart"/>
      <w:r w:rsidRPr="00FE3A2D">
        <w:rPr>
          <w:rFonts w:ascii="Century" w:hAnsi="Century" w:cs="Arial"/>
          <w:sz w:val="28"/>
          <w:szCs w:val="28"/>
        </w:rPr>
        <w:t>коксартроз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третього ступеню. Інвалідність при захворюваннях кульшового суглоба у 3 рази вища, ніж при </w:t>
      </w:r>
      <w:proofErr w:type="spellStart"/>
      <w:r w:rsidRPr="00FE3A2D">
        <w:rPr>
          <w:rFonts w:ascii="Century" w:hAnsi="Century" w:cs="Arial"/>
          <w:sz w:val="28"/>
          <w:szCs w:val="28"/>
        </w:rPr>
        <w:t>дегенеративно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-дистрофічних захворюваннях колінного суглоба та у 7 разів вища, ніж при захворюваннях </w:t>
      </w:r>
      <w:proofErr w:type="spellStart"/>
      <w:r w:rsidRPr="00FE3A2D">
        <w:rPr>
          <w:rFonts w:ascii="Century" w:hAnsi="Century" w:cs="Arial"/>
          <w:sz w:val="28"/>
          <w:szCs w:val="28"/>
        </w:rPr>
        <w:t>надп’ятково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-гомілкового суглоба. Це одна з актуальних проблем ортопедії, яка має не тільки медичне, а й соціальне значення. При важких патологічних процесах у суглобах альтернативи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ендопротезуванню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немає, попри те, що інколи є деякі ускладнення та несприятливі наслідки. Проблема патології опорно-рухового апарату актуальна і для України. На сучасному етапі вона набуває актуальності, оскільки все частіше </w:t>
      </w:r>
      <w:proofErr w:type="spellStart"/>
      <w:r w:rsidRPr="00FE3A2D">
        <w:rPr>
          <w:rFonts w:ascii="Century" w:hAnsi="Century" w:cs="Arial"/>
          <w:sz w:val="28"/>
          <w:szCs w:val="28"/>
        </w:rPr>
        <w:t>дегенеративно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-дистрофічними захворюваннями суглобів хворіють люди працездатного віку у 30–60 років, що складає 40–60 % спостережень. </w:t>
      </w:r>
      <w:r w:rsidRPr="00FE3A2D">
        <w:rPr>
          <w:rFonts w:ascii="Century" w:hAnsi="Century" w:cs="Arial"/>
          <w:sz w:val="28"/>
          <w:szCs w:val="28"/>
        </w:rPr>
        <w:lastRenderedPageBreak/>
        <w:t xml:space="preserve">Згідно із даними ВООЗ </w:t>
      </w:r>
      <w:proofErr w:type="spellStart"/>
      <w:r w:rsidRPr="00FE3A2D">
        <w:rPr>
          <w:rFonts w:ascii="Century" w:hAnsi="Century" w:cs="Arial"/>
          <w:sz w:val="28"/>
          <w:szCs w:val="28"/>
        </w:rPr>
        <w:t>дегенеративно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-дистрофічні процеси суглобів є не тільки причиною страждань, інвалідності і смертності людей похилого віку, але й значною соціально-економічною проблемою. Це обумовлено старінням населення планети, оскільки збільшується частка людей похилого віку. Практика заміни суглоба, зруйнованого патологічним процесом чи травмою, на штучний відкрила новий етап у вирішенні найбільш актуального питання травматології та ортопедії з відновлення без больової рухливості суглобів і опірності нижньої кінцівки. На сьогодні широкого розповсюдження отримала технологія тотального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суглобів, яка є одним із ефективних методів відновлення</w:t>
      </w:r>
    </w:p>
    <w:p w14:paraId="409B6E43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 втраченої (обмеженої) функції, що пояснюється малою ефективністю консервативних методів лікування </w:t>
      </w:r>
      <w:proofErr w:type="spellStart"/>
      <w:r w:rsidRPr="00FE3A2D">
        <w:rPr>
          <w:rFonts w:ascii="Century" w:hAnsi="Century" w:cs="Arial"/>
          <w:sz w:val="28"/>
          <w:szCs w:val="28"/>
        </w:rPr>
        <w:t>дегенеративно</w:t>
      </w:r>
      <w:proofErr w:type="spellEnd"/>
      <w:r w:rsidRPr="00FE3A2D">
        <w:rPr>
          <w:rFonts w:ascii="Century" w:hAnsi="Century" w:cs="Arial"/>
          <w:sz w:val="28"/>
          <w:szCs w:val="28"/>
        </w:rPr>
        <w:t>-дистрофічних захворювань і наслідків травм.</w:t>
      </w:r>
    </w:p>
    <w:p w14:paraId="25E1D89B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– це хірургічна операція, при якій пошкоджений/зруйнований суглоб замінюється штучним. Ендопротез повністю повторює анатомічну форму суглоба, його структуру, приймаючи на себе навантаження і рухові функції.</w:t>
      </w:r>
    </w:p>
    <w:p w14:paraId="643F8B19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Придбання ендопротезів кульшового та колінного суглобів за кошти програми державних гарантій медичного обслуговування населення не передбачено. </w:t>
      </w:r>
    </w:p>
    <w:p w14:paraId="74C82149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Придбання за кошти бюджету Городоцької територіальної громади тотальних ендопротезів кульшового та колінного суглобів значно полегшило б проведення операцій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населення, сприяло б швидкому одужанню пацієнтів та покращенню якості їх життя.</w:t>
      </w:r>
    </w:p>
    <w:p w14:paraId="3CB1DA3E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Реалізація заходів Програми дозволить знизити рівень </w:t>
      </w:r>
      <w:proofErr w:type="spellStart"/>
      <w:r w:rsidRPr="00FE3A2D">
        <w:rPr>
          <w:rFonts w:ascii="Century" w:hAnsi="Century" w:cs="Arial"/>
          <w:sz w:val="28"/>
          <w:szCs w:val="28"/>
        </w:rPr>
        <w:t>інвалідизації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населення та збільшити кількість працездатних осіб. Серед осіб, які потребують цих медичних послуг близько 50-60 % це люди пенсійного віку, яким придбання ендопротезів є вкрай </w:t>
      </w:r>
      <w:proofErr w:type="spellStart"/>
      <w:r w:rsidRPr="00FE3A2D">
        <w:rPr>
          <w:rFonts w:ascii="Century" w:hAnsi="Century" w:cs="Arial"/>
          <w:sz w:val="28"/>
          <w:szCs w:val="28"/>
        </w:rPr>
        <w:t>дороговартісним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і, нерідко, неможливим. </w:t>
      </w:r>
    </w:p>
    <w:p w14:paraId="0E0E4595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Основними принципами, які  будуть застосовані при реалізації Програми, є адресність, доцільність, раціональність, індивідуальний підхід, доступність, відкритість, комплексність та відповідальність за дотримання етичних і правових норм для всіх учасників процесу реалізації Програми.</w:t>
      </w:r>
    </w:p>
    <w:p w14:paraId="379F5D63" w14:textId="77777777" w:rsidR="00987DC5" w:rsidRPr="00FE3A2D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FE3A2D">
        <w:rPr>
          <w:rFonts w:ascii="Century" w:hAnsi="Century" w:cs="Arial"/>
          <w:b/>
          <w:sz w:val="28"/>
          <w:szCs w:val="28"/>
        </w:rPr>
        <w:t>2. Мета Програми</w:t>
      </w:r>
    </w:p>
    <w:p w14:paraId="77CE65FE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442BC8F8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2.1. Метою Програми є надання мешканцям Городоцької територіальної громади - учасникам бойових </w:t>
      </w:r>
      <w:proofErr w:type="spellStart"/>
      <w:r w:rsidRPr="00FE3A2D">
        <w:rPr>
          <w:rFonts w:ascii="Century" w:hAnsi="Century" w:cs="Arial"/>
          <w:sz w:val="28"/>
          <w:szCs w:val="28"/>
        </w:rPr>
        <w:t>дій,які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не проходять службу в Збройних Силах України, із захворюваннями опорно-рухового апарату послуг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суглобів в умовах стаціонарного лікування у КНП «Городоцька ЦЛ» ГМР  для </w:t>
      </w:r>
      <w:r w:rsidRPr="00FE3A2D">
        <w:rPr>
          <w:rFonts w:ascii="Century" w:hAnsi="Century" w:cs="Arial"/>
          <w:sz w:val="28"/>
          <w:szCs w:val="28"/>
        </w:rPr>
        <w:lastRenderedPageBreak/>
        <w:t>зменшення страждань, інвалідності і смертності цих людей та покращення якості та тривалості їх життя.</w:t>
      </w:r>
    </w:p>
    <w:p w14:paraId="7990C499" w14:textId="77777777" w:rsidR="00987DC5" w:rsidRPr="00FE3A2D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FE3A2D">
        <w:rPr>
          <w:rFonts w:ascii="Century" w:hAnsi="Century" w:cs="Arial"/>
          <w:b/>
          <w:sz w:val="28"/>
          <w:szCs w:val="28"/>
        </w:rPr>
        <w:t>3. Завдання Програми</w:t>
      </w:r>
    </w:p>
    <w:p w14:paraId="41D31127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5945CA7A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3.1. Основними завданнями Програми є:</w:t>
      </w:r>
    </w:p>
    <w:p w14:paraId="657584D5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3.1.1. Забезпечення мешканців Городоцької територіальної громади- учасників бойових дій,</w:t>
      </w:r>
      <w:r w:rsidRPr="00FE3A2D">
        <w:rPr>
          <w:rFonts w:ascii="Century" w:hAnsi="Century"/>
          <w:sz w:val="28"/>
          <w:szCs w:val="28"/>
        </w:rPr>
        <w:t xml:space="preserve"> </w:t>
      </w:r>
      <w:r w:rsidRPr="00FE3A2D">
        <w:rPr>
          <w:rFonts w:ascii="Century" w:hAnsi="Century" w:cs="Arial"/>
          <w:sz w:val="28"/>
          <w:szCs w:val="28"/>
        </w:rPr>
        <w:t xml:space="preserve">які не проходять службу в Збройних Силах України,  послугами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суглобів в умовах стаціонарного лікування у КНП «Городоцька ЦЛ» ГМР.</w:t>
      </w:r>
    </w:p>
    <w:p w14:paraId="1832AA3B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6AB9457D" w14:textId="77777777" w:rsidR="00987DC5" w:rsidRPr="00FE3A2D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FE3A2D">
        <w:rPr>
          <w:rFonts w:ascii="Century" w:hAnsi="Century" w:cs="Arial"/>
          <w:b/>
          <w:sz w:val="28"/>
          <w:szCs w:val="28"/>
        </w:rPr>
        <w:t xml:space="preserve">4. Порядок забезпечення послуг з </w:t>
      </w:r>
      <w:proofErr w:type="spellStart"/>
      <w:r w:rsidRPr="00FE3A2D">
        <w:rPr>
          <w:rFonts w:ascii="Century" w:hAnsi="Century" w:cs="Arial"/>
          <w:b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b/>
          <w:sz w:val="28"/>
          <w:szCs w:val="28"/>
        </w:rPr>
        <w:t xml:space="preserve"> суглобів</w:t>
      </w:r>
    </w:p>
    <w:p w14:paraId="60ABC51E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38B601A4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4.1. Право на безоплатне забезпечення послуг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суглобів мають о</w:t>
      </w:r>
      <w:r w:rsidRPr="00FE3A2D">
        <w:rPr>
          <w:rFonts w:ascii="Century" w:eastAsia="Calibri" w:hAnsi="Century" w:cs="Arial"/>
          <w:sz w:val="28"/>
          <w:szCs w:val="28"/>
        </w:rPr>
        <w:t xml:space="preserve">соби, місце проживання яких зареєстроване на території Городоцької ОТГ не менше ніж дванадцять місяців до дати звернення за </w:t>
      </w:r>
      <w:r w:rsidRPr="00FE3A2D">
        <w:rPr>
          <w:rFonts w:ascii="Century" w:hAnsi="Century" w:cs="Arial"/>
          <w:sz w:val="28"/>
          <w:szCs w:val="28"/>
        </w:rPr>
        <w:t>отриманням ендопротезів</w:t>
      </w:r>
      <w:r w:rsidRPr="00FE3A2D">
        <w:rPr>
          <w:rFonts w:ascii="Century" w:eastAsia="Calibri" w:hAnsi="Century" w:cs="Arial"/>
          <w:sz w:val="28"/>
          <w:szCs w:val="28"/>
        </w:rPr>
        <w:t xml:space="preserve">. </w:t>
      </w:r>
    </w:p>
    <w:p w14:paraId="3969C014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4.2. Безоплатне забезпечення послуг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суглобів за кошти Програми проводиться особам</w:t>
      </w:r>
      <w:r w:rsidRPr="00FE3A2D">
        <w:rPr>
          <w:rFonts w:ascii="Century" w:eastAsia="Calibri" w:hAnsi="Century" w:cs="Arial"/>
          <w:sz w:val="28"/>
          <w:szCs w:val="28"/>
        </w:rPr>
        <w:t xml:space="preserve"> не більше</w:t>
      </w:r>
      <w:r w:rsidRPr="00FE3A2D">
        <w:rPr>
          <w:rFonts w:ascii="Century" w:hAnsi="Century" w:cs="Arial"/>
          <w:sz w:val="28"/>
          <w:szCs w:val="28"/>
        </w:rPr>
        <w:t xml:space="preserve"> ніж один </w:t>
      </w:r>
      <w:r w:rsidRPr="00FE3A2D">
        <w:rPr>
          <w:rFonts w:ascii="Century" w:eastAsia="Calibri" w:hAnsi="Century" w:cs="Arial"/>
          <w:sz w:val="28"/>
          <w:szCs w:val="28"/>
        </w:rPr>
        <w:t>ендопротез суглоба кожному пацієнту.</w:t>
      </w:r>
    </w:p>
    <w:p w14:paraId="28FA8E64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 xml:space="preserve">4.3. Медична допомога з </w:t>
      </w:r>
      <w:proofErr w:type="spellStart"/>
      <w:r w:rsidRPr="00FE3A2D">
        <w:rPr>
          <w:rFonts w:ascii="Century" w:eastAsia="Calibri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eastAsia="Calibri" w:hAnsi="Century" w:cs="Arial"/>
          <w:sz w:val="28"/>
          <w:szCs w:val="28"/>
        </w:rPr>
        <w:t xml:space="preserve"> кульшового та колінного суглобів за кошти Програми надається у </w:t>
      </w:r>
      <w:r w:rsidRPr="00FE3A2D">
        <w:rPr>
          <w:rFonts w:ascii="Century" w:hAnsi="Century" w:cs="Arial"/>
          <w:sz w:val="28"/>
          <w:szCs w:val="28"/>
        </w:rPr>
        <w:t>КНП «Городоцька ЦЛ»ГМР</w:t>
      </w:r>
      <w:r w:rsidRPr="00FE3A2D">
        <w:rPr>
          <w:rFonts w:ascii="Century" w:eastAsia="Calibri" w:hAnsi="Century" w:cs="Arial"/>
          <w:sz w:val="28"/>
          <w:szCs w:val="28"/>
        </w:rPr>
        <w:t>.</w:t>
      </w:r>
    </w:p>
    <w:p w14:paraId="2F3564FA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 xml:space="preserve">4.4. Показами для </w:t>
      </w:r>
      <w:proofErr w:type="spellStart"/>
      <w:r w:rsidRPr="00FE3A2D">
        <w:rPr>
          <w:rFonts w:ascii="Century" w:eastAsia="Calibri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eastAsia="Calibri" w:hAnsi="Century" w:cs="Arial"/>
          <w:sz w:val="28"/>
          <w:szCs w:val="28"/>
        </w:rPr>
        <w:t xml:space="preserve"> кульшового та колінного суглобів є такі захворювання та стани в осіб:</w:t>
      </w:r>
    </w:p>
    <w:p w14:paraId="2E6F8BB6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 xml:space="preserve">4.4.1. </w:t>
      </w:r>
      <w:proofErr w:type="spellStart"/>
      <w:r w:rsidRPr="00FE3A2D">
        <w:rPr>
          <w:rFonts w:ascii="Century" w:eastAsia="Calibri" w:hAnsi="Century" w:cs="Arial"/>
          <w:sz w:val="28"/>
          <w:szCs w:val="28"/>
        </w:rPr>
        <w:t>Остеоартроз</w:t>
      </w:r>
      <w:proofErr w:type="spellEnd"/>
      <w:r w:rsidRPr="00FE3A2D">
        <w:rPr>
          <w:rFonts w:ascii="Century" w:eastAsia="Calibri" w:hAnsi="Century" w:cs="Arial"/>
          <w:sz w:val="28"/>
          <w:szCs w:val="28"/>
        </w:rPr>
        <w:t xml:space="preserve"> колінного суглоба третього або четвертого ступеню з порушеннями функції суглоба другого або третього ступеню.</w:t>
      </w:r>
    </w:p>
    <w:p w14:paraId="084F8423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 xml:space="preserve">4.4.2. </w:t>
      </w:r>
      <w:proofErr w:type="spellStart"/>
      <w:r w:rsidRPr="00FE3A2D">
        <w:rPr>
          <w:rFonts w:ascii="Century" w:eastAsia="Calibri" w:hAnsi="Century" w:cs="Arial"/>
          <w:sz w:val="28"/>
          <w:szCs w:val="28"/>
        </w:rPr>
        <w:t>Остеоартроз</w:t>
      </w:r>
      <w:proofErr w:type="spellEnd"/>
      <w:r w:rsidRPr="00FE3A2D">
        <w:rPr>
          <w:rFonts w:ascii="Century" w:eastAsia="Calibri" w:hAnsi="Century" w:cs="Arial"/>
          <w:sz w:val="28"/>
          <w:szCs w:val="28"/>
        </w:rPr>
        <w:t xml:space="preserve"> кульшового суглоба третього або четвертого ступеню з порушеннями функції суглоба другого або третього ступеню.</w:t>
      </w:r>
    </w:p>
    <w:p w14:paraId="6D8CDCF9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>4.4.3. Асептичний некроз голівки стегнової кістки з порушеннями функції суглоба другого або третього ступеню.</w:t>
      </w:r>
    </w:p>
    <w:p w14:paraId="50062761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>4.4.4. Асептичний некроз виростків стегнової кістки з порушеннями функції суглоба другого або третього ступеню.</w:t>
      </w:r>
    </w:p>
    <w:p w14:paraId="172195DF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>4.4.5. Асептичний некроз виростків великогомілкової кістки з порушеннями функції суглоба другого або третього ступеню.</w:t>
      </w:r>
    </w:p>
    <w:p w14:paraId="7E7F597C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 xml:space="preserve">4.4.6. Наслідки травм та остеосинтезу, ускладнені  </w:t>
      </w:r>
      <w:proofErr w:type="spellStart"/>
      <w:r w:rsidRPr="00FE3A2D">
        <w:rPr>
          <w:rFonts w:ascii="Century" w:eastAsia="Calibri" w:hAnsi="Century" w:cs="Arial"/>
          <w:sz w:val="28"/>
          <w:szCs w:val="28"/>
        </w:rPr>
        <w:t>остеоартрозом</w:t>
      </w:r>
      <w:proofErr w:type="spellEnd"/>
      <w:r w:rsidRPr="00FE3A2D">
        <w:rPr>
          <w:rFonts w:ascii="Century" w:eastAsia="Calibri" w:hAnsi="Century" w:cs="Arial"/>
          <w:sz w:val="28"/>
          <w:szCs w:val="28"/>
        </w:rPr>
        <w:t xml:space="preserve"> колінного суглоба третього або четвертого ступеню, </w:t>
      </w:r>
      <w:proofErr w:type="spellStart"/>
      <w:r w:rsidRPr="00FE3A2D">
        <w:rPr>
          <w:rFonts w:ascii="Century" w:eastAsia="Calibri" w:hAnsi="Century" w:cs="Arial"/>
          <w:sz w:val="28"/>
          <w:szCs w:val="28"/>
        </w:rPr>
        <w:t>остеоартрозом</w:t>
      </w:r>
      <w:proofErr w:type="spellEnd"/>
      <w:r w:rsidRPr="00FE3A2D">
        <w:rPr>
          <w:rFonts w:ascii="Century" w:eastAsia="Calibri" w:hAnsi="Century" w:cs="Arial"/>
          <w:sz w:val="28"/>
          <w:szCs w:val="28"/>
        </w:rPr>
        <w:t xml:space="preserve"> кульшового суглоба третього або четвертого ступеню.</w:t>
      </w:r>
    </w:p>
    <w:p w14:paraId="7698E334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4.5. </w:t>
      </w:r>
      <w:proofErr w:type="spellStart"/>
      <w:r w:rsidRPr="00FE3A2D">
        <w:rPr>
          <w:rFonts w:ascii="Century" w:hAnsi="Century" w:cs="Arial"/>
          <w:sz w:val="28"/>
          <w:szCs w:val="28"/>
        </w:rPr>
        <w:t>Протипоказами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з боку стану здоров’я для проведення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великих суглобів є такі захворювання та стани в осіб:</w:t>
      </w:r>
    </w:p>
    <w:p w14:paraId="62513727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4.5.1. Активний інфекційний процес.</w:t>
      </w:r>
    </w:p>
    <w:p w14:paraId="60BDB758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4.5.2. Захворювання серцево-судинної системи у стадії декомпенсації.</w:t>
      </w:r>
    </w:p>
    <w:p w14:paraId="692FA58D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lastRenderedPageBreak/>
        <w:t xml:space="preserve">4.5.3. Захворювання </w:t>
      </w:r>
      <w:proofErr w:type="spellStart"/>
      <w:r w:rsidRPr="00FE3A2D">
        <w:rPr>
          <w:rFonts w:ascii="Century" w:hAnsi="Century" w:cs="Arial"/>
          <w:sz w:val="28"/>
          <w:szCs w:val="28"/>
        </w:rPr>
        <w:t>бронхо</w:t>
      </w:r>
      <w:proofErr w:type="spellEnd"/>
      <w:r w:rsidRPr="00FE3A2D">
        <w:rPr>
          <w:rFonts w:ascii="Century" w:hAnsi="Century" w:cs="Arial"/>
          <w:sz w:val="28"/>
          <w:szCs w:val="28"/>
        </w:rPr>
        <w:t>-легеневої системи у стадії декомпенсації.</w:t>
      </w:r>
    </w:p>
    <w:p w14:paraId="63EEF25B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4.5.4. Наявність вогнища гнійної інфекції (</w:t>
      </w:r>
      <w:proofErr w:type="spellStart"/>
      <w:r w:rsidRPr="00FE3A2D">
        <w:rPr>
          <w:rFonts w:ascii="Century" w:hAnsi="Century" w:cs="Arial"/>
          <w:sz w:val="28"/>
          <w:szCs w:val="28"/>
        </w:rPr>
        <w:t>тонзиліти</w:t>
      </w:r>
      <w:proofErr w:type="spellEnd"/>
      <w:r w:rsidRPr="00FE3A2D">
        <w:rPr>
          <w:rFonts w:ascii="Century" w:hAnsi="Century" w:cs="Arial"/>
          <w:sz w:val="28"/>
          <w:szCs w:val="28"/>
        </w:rPr>
        <w:t>, хронічні гайморити і отити, гнійничкові захворювання шкіри тощо).</w:t>
      </w:r>
    </w:p>
    <w:p w14:paraId="60D4689F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4.5.5. Гострий або хронічний остеомієліт.</w:t>
      </w:r>
    </w:p>
    <w:p w14:paraId="4FBE7440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4.5.6. Туберкульоз.</w:t>
      </w:r>
    </w:p>
    <w:p w14:paraId="587EA8F2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4.5.7. Грубі, великі рубці, спаяні з підлеглою кісткою у ділянці суглобів.</w:t>
      </w:r>
    </w:p>
    <w:p w14:paraId="0E2422C2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4.5.8. Первинний </w:t>
      </w:r>
      <w:proofErr w:type="spellStart"/>
      <w:r w:rsidRPr="00FE3A2D">
        <w:rPr>
          <w:rFonts w:ascii="Century" w:hAnsi="Century" w:cs="Arial"/>
          <w:sz w:val="28"/>
          <w:szCs w:val="28"/>
        </w:rPr>
        <w:t>артродез</w:t>
      </w:r>
      <w:proofErr w:type="spellEnd"/>
      <w:r w:rsidRPr="00FE3A2D">
        <w:rPr>
          <w:rFonts w:ascii="Century" w:hAnsi="Century" w:cs="Arial"/>
          <w:sz w:val="28"/>
          <w:szCs w:val="28"/>
        </w:rPr>
        <w:t>.</w:t>
      </w:r>
    </w:p>
    <w:p w14:paraId="1B5633F6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4.5.9. Тромбофлебіт у стадії загострення.</w:t>
      </w:r>
    </w:p>
    <w:p w14:paraId="551422C8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4.5.10. Ожиріння ІІІ - ІV ступеня.</w:t>
      </w:r>
    </w:p>
    <w:p w14:paraId="00873843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4.5.11. </w:t>
      </w:r>
      <w:proofErr w:type="spellStart"/>
      <w:r w:rsidRPr="00FE3A2D">
        <w:rPr>
          <w:rFonts w:ascii="Century" w:hAnsi="Century" w:cs="Arial"/>
          <w:sz w:val="28"/>
          <w:szCs w:val="28"/>
        </w:rPr>
        <w:t>Загальносоматичні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хвороби у стадії загострення та декомпенсації.</w:t>
      </w:r>
    </w:p>
    <w:p w14:paraId="5E862181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4.5.12. Психоневрологічні захворювання у стадії загострення та декомпенсації.</w:t>
      </w:r>
    </w:p>
    <w:p w14:paraId="5AC0306C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4.5.13. </w:t>
      </w:r>
      <w:proofErr w:type="spellStart"/>
      <w:r w:rsidRPr="00FE3A2D">
        <w:rPr>
          <w:rFonts w:ascii="Century" w:hAnsi="Century" w:cs="Arial"/>
          <w:sz w:val="28"/>
          <w:szCs w:val="28"/>
        </w:rPr>
        <w:t>Ревматоїдний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поліартрит та інші системні захворювання суглобів у стадії загострення та декомпенсації.</w:t>
      </w:r>
    </w:p>
    <w:p w14:paraId="1A0E8D62" w14:textId="77777777" w:rsidR="00987DC5" w:rsidRPr="00FE3A2D" w:rsidRDefault="00987DC5" w:rsidP="00987DC5">
      <w:pPr>
        <w:ind w:firstLine="708"/>
        <w:jc w:val="both"/>
        <w:rPr>
          <w:rFonts w:ascii="Century" w:eastAsiaTheme="minorEastAsia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4.6. КНП "Городоцька ЦЛ"ГМР утворює комісію</w:t>
      </w:r>
      <w:r w:rsidRPr="00FE3A2D">
        <w:rPr>
          <w:rFonts w:ascii="Century" w:eastAsiaTheme="minorEastAsia" w:hAnsi="Century" w:cs="Arial"/>
          <w:sz w:val="28"/>
          <w:szCs w:val="28"/>
        </w:rPr>
        <w:t xml:space="preserve"> із визначення права осіб на </w:t>
      </w:r>
      <w:r w:rsidRPr="00FE3A2D">
        <w:rPr>
          <w:rFonts w:ascii="Century" w:hAnsi="Century" w:cs="Arial"/>
          <w:sz w:val="28"/>
          <w:szCs w:val="28"/>
        </w:rPr>
        <w:t xml:space="preserve">забезпечення послуг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суглобів за кошти Програми</w:t>
      </w:r>
      <w:r w:rsidRPr="00FE3A2D">
        <w:rPr>
          <w:rFonts w:ascii="Century" w:eastAsiaTheme="minorEastAsia" w:hAnsi="Century" w:cs="Arial"/>
          <w:sz w:val="28"/>
          <w:szCs w:val="28"/>
        </w:rPr>
        <w:t xml:space="preserve"> та</w:t>
      </w:r>
      <w:r w:rsidRPr="00FE3A2D">
        <w:rPr>
          <w:rFonts w:ascii="Century" w:hAnsi="Century" w:cs="Arial"/>
          <w:sz w:val="28"/>
          <w:szCs w:val="28"/>
        </w:rPr>
        <w:t xml:space="preserve"> </w:t>
      </w:r>
      <w:r w:rsidRPr="00FE3A2D">
        <w:rPr>
          <w:rFonts w:ascii="Century" w:eastAsiaTheme="minorEastAsia" w:hAnsi="Century" w:cs="Arial"/>
          <w:sz w:val="28"/>
          <w:szCs w:val="28"/>
        </w:rPr>
        <w:t xml:space="preserve">ведення черги осіб, які мають право на таке забезпечення (надалі – Комісія). </w:t>
      </w:r>
    </w:p>
    <w:p w14:paraId="3B529C87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color w:val="FF0000"/>
          <w:sz w:val="28"/>
          <w:szCs w:val="28"/>
        </w:rPr>
      </w:pPr>
      <w:r w:rsidRPr="00FE3A2D">
        <w:rPr>
          <w:rFonts w:ascii="Century" w:eastAsiaTheme="minorEastAsia" w:hAnsi="Century" w:cs="Arial"/>
          <w:sz w:val="28"/>
          <w:szCs w:val="28"/>
        </w:rPr>
        <w:t xml:space="preserve">4.7. Утворення та організація роботи Комісії визначаються цією Програмою та Положенням про Комісію, яке буде затверджувати керівник </w:t>
      </w:r>
      <w:r w:rsidRPr="00FE3A2D">
        <w:rPr>
          <w:rFonts w:ascii="Century" w:hAnsi="Century" w:cs="Arial"/>
          <w:sz w:val="28"/>
          <w:szCs w:val="28"/>
        </w:rPr>
        <w:t xml:space="preserve">КНП "Городоцька ЦЛ"ГМР. </w:t>
      </w:r>
    </w:p>
    <w:p w14:paraId="6B4BBC29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4.8. Право на безоплатне забезпечення послуг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кульшових та колінних суглобів за кошти Програми мають особи, у яких наявні покази та відсутні </w:t>
      </w:r>
      <w:proofErr w:type="spellStart"/>
      <w:r w:rsidRPr="00FE3A2D">
        <w:rPr>
          <w:rFonts w:ascii="Century" w:hAnsi="Century" w:cs="Arial"/>
          <w:sz w:val="28"/>
          <w:szCs w:val="28"/>
        </w:rPr>
        <w:t>протипокази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щодо стану здоров’я, зазначені у пунктах 4.4 та 4.5 цієї Програми.</w:t>
      </w:r>
    </w:p>
    <w:p w14:paraId="537E57EC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4.9.  Право на безоплатне забезпечення послуг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кульшових та колінних суглобів за кошти Програми мають:</w:t>
      </w:r>
    </w:p>
    <w:p w14:paraId="30FFC949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4.9.1. . Учасники бойових дій, які не проходять службу в Збройних Силах України.</w:t>
      </w:r>
    </w:p>
    <w:p w14:paraId="5FD9B31C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4.10. Д</w:t>
      </w:r>
      <w:r w:rsidRPr="00FE3A2D">
        <w:rPr>
          <w:rFonts w:ascii="Century" w:eastAsia="Calibri" w:hAnsi="Century" w:cs="Arial"/>
          <w:sz w:val="28"/>
          <w:szCs w:val="28"/>
        </w:rPr>
        <w:t xml:space="preserve">ля визначення права </w:t>
      </w:r>
      <w:r w:rsidRPr="00FE3A2D">
        <w:rPr>
          <w:rFonts w:ascii="Century" w:hAnsi="Century" w:cs="Arial"/>
          <w:sz w:val="28"/>
          <w:szCs w:val="28"/>
        </w:rPr>
        <w:t xml:space="preserve">безоплатного забезпечення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кульшових та колінних суглобів за кошти Програми </w:t>
      </w:r>
      <w:r w:rsidRPr="00FE3A2D">
        <w:rPr>
          <w:rFonts w:ascii="Century" w:eastAsia="Calibri" w:hAnsi="Century" w:cs="Arial"/>
          <w:sz w:val="28"/>
          <w:szCs w:val="28"/>
        </w:rPr>
        <w:t xml:space="preserve">особи надають </w:t>
      </w:r>
      <w:r w:rsidRPr="00FE3A2D">
        <w:rPr>
          <w:rFonts w:ascii="Century" w:hAnsi="Century" w:cs="Arial"/>
          <w:sz w:val="28"/>
          <w:szCs w:val="28"/>
        </w:rPr>
        <w:t>Комісії такі</w:t>
      </w:r>
      <w:r w:rsidRPr="00FE3A2D">
        <w:rPr>
          <w:rFonts w:ascii="Century" w:eastAsia="Calibri" w:hAnsi="Century" w:cs="Arial"/>
          <w:sz w:val="28"/>
          <w:szCs w:val="28"/>
        </w:rPr>
        <w:t xml:space="preserve"> </w:t>
      </w:r>
      <w:r w:rsidRPr="00FE3A2D">
        <w:rPr>
          <w:rFonts w:ascii="Century" w:hAnsi="Century" w:cs="Arial"/>
          <w:sz w:val="28"/>
          <w:szCs w:val="28"/>
        </w:rPr>
        <w:t>документи:</w:t>
      </w:r>
      <w:r w:rsidRPr="00FE3A2D">
        <w:rPr>
          <w:rFonts w:ascii="Century" w:eastAsia="Calibri" w:hAnsi="Century" w:cs="Arial"/>
          <w:sz w:val="28"/>
          <w:szCs w:val="28"/>
        </w:rPr>
        <w:t xml:space="preserve"> </w:t>
      </w:r>
    </w:p>
    <w:p w14:paraId="3DB91EDA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4.10.1. Заяву про зарахування до черги.</w:t>
      </w:r>
    </w:p>
    <w:p w14:paraId="01E15755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4.10.2. Згода на обробку персональних даних.</w:t>
      </w:r>
    </w:p>
    <w:p w14:paraId="3CE00BF4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>4.10.3. Копію паспорта громадянина України та довідки про присвоєння реєстраційного номера платника податків з пред’явленням оригіналів відповідних документів.</w:t>
      </w:r>
    </w:p>
    <w:p w14:paraId="7A3772B2" w14:textId="77777777" w:rsidR="00987DC5" w:rsidRPr="00FE3A2D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>4.10.4. Витяг про реєстрацію місця проживання особи.</w:t>
      </w:r>
    </w:p>
    <w:p w14:paraId="3C380C74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lastRenderedPageBreak/>
        <w:t>4.10.5. Виписку із медичної карти амбулаторного хворого та, у разі проведеного раніше стаціонарного лікування, виписку із медичної карти стаціонарного хворого з результатами обстежень.</w:t>
      </w:r>
    </w:p>
    <w:p w14:paraId="4D42864C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eastAsia="Calibri" w:hAnsi="Century" w:cs="Arial"/>
          <w:sz w:val="28"/>
          <w:szCs w:val="28"/>
        </w:rPr>
        <w:t>4.10.6. Додаткові документи (за необхідності).</w:t>
      </w:r>
    </w:p>
    <w:p w14:paraId="0C26E861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4.11. Підставами для відмови у проведенні безоплатного забезпечення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кульшових та колінних суглобів за кошти Програми є:</w:t>
      </w:r>
    </w:p>
    <w:p w14:paraId="4BAD91C0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4.11.1. Відсутність повного комплекту документів, визначених у пункті 4.10 цієї Програми. </w:t>
      </w:r>
    </w:p>
    <w:p w14:paraId="5CBD5BA6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4.11.2. Виявлена недостовірність відомостей у наданих документах.</w:t>
      </w:r>
    </w:p>
    <w:p w14:paraId="6771D488" w14:textId="77777777" w:rsidR="00987DC5" w:rsidRPr="00FE3A2D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</w:p>
    <w:p w14:paraId="14F34E75" w14:textId="77777777" w:rsidR="00987DC5" w:rsidRPr="00FE3A2D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FE3A2D">
        <w:rPr>
          <w:rFonts w:ascii="Century" w:hAnsi="Century" w:cs="Arial"/>
          <w:b/>
          <w:sz w:val="28"/>
          <w:szCs w:val="28"/>
        </w:rPr>
        <w:t>5. Фінансування Програми</w:t>
      </w:r>
    </w:p>
    <w:p w14:paraId="5515AB4E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  <w:bookmarkStart w:id="3" w:name="_Hlk131547961"/>
    </w:p>
    <w:p w14:paraId="3B59B025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5.1. Фінансове забезпечення Програми здійснюється за рахунок коштів, передбачених у бюджеті Городоцької територіальної громади на відповідний  рік згідно Додатку 1. </w:t>
      </w:r>
    </w:p>
    <w:p w14:paraId="7AC748FD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5.2. Не допускається скерування бюджетних коштів на здійснення завдань, не передбачених цією Програмою.</w:t>
      </w:r>
    </w:p>
    <w:bookmarkEnd w:id="3"/>
    <w:p w14:paraId="4A48120A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49E8D47C" w14:textId="77777777" w:rsidR="00987DC5" w:rsidRPr="00FE3A2D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FE3A2D">
        <w:rPr>
          <w:rFonts w:ascii="Century" w:hAnsi="Century" w:cs="Arial"/>
          <w:b/>
          <w:sz w:val="28"/>
          <w:szCs w:val="28"/>
        </w:rPr>
        <w:t>6. Виконавці Програми</w:t>
      </w:r>
    </w:p>
    <w:p w14:paraId="042C847F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  <w:bookmarkStart w:id="4" w:name="_Hlk131547997"/>
      <w:bookmarkStart w:id="5" w:name="_Hlk131547983"/>
    </w:p>
    <w:p w14:paraId="3AE3C1BF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6.1. Відповідальним виконавцем Програми є </w:t>
      </w:r>
      <w:proofErr w:type="spellStart"/>
      <w:r w:rsidRPr="00FE3A2D">
        <w:rPr>
          <w:rFonts w:ascii="Century" w:hAnsi="Century" w:cs="Arial"/>
          <w:sz w:val="28"/>
          <w:szCs w:val="28"/>
        </w:rPr>
        <w:t>КНП"Городоцька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ЦЛ"ГМР. </w:t>
      </w:r>
    </w:p>
    <w:p w14:paraId="4E8C8C69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</w:p>
    <w:p w14:paraId="00F371B0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</w:p>
    <w:p w14:paraId="165D22BD" w14:textId="5C539795" w:rsidR="00987DC5" w:rsidRPr="00FE3A2D" w:rsidRDefault="00987DC5" w:rsidP="00FE3A2D">
      <w:pPr>
        <w:ind w:firstLine="708"/>
        <w:jc w:val="center"/>
        <w:rPr>
          <w:rFonts w:ascii="Century" w:hAnsi="Century" w:cs="Arial"/>
          <w:b/>
          <w:sz w:val="28"/>
          <w:szCs w:val="28"/>
        </w:rPr>
      </w:pPr>
      <w:r w:rsidRPr="00FE3A2D">
        <w:rPr>
          <w:rFonts w:ascii="Century" w:hAnsi="Century" w:cs="Arial"/>
          <w:b/>
          <w:sz w:val="28"/>
          <w:szCs w:val="28"/>
        </w:rPr>
        <w:t>7. Порядок відшкодування послуг</w:t>
      </w:r>
    </w:p>
    <w:p w14:paraId="0E0A702D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</w:p>
    <w:p w14:paraId="417E2036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7.1. Відшкодування витрат за надані послуги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 мешканців Городоцької територіальної громади - учасників бойових </w:t>
      </w:r>
      <w:proofErr w:type="spellStart"/>
      <w:r w:rsidRPr="00FE3A2D">
        <w:rPr>
          <w:rFonts w:ascii="Century" w:hAnsi="Century" w:cs="Arial"/>
          <w:sz w:val="28"/>
          <w:szCs w:val="28"/>
        </w:rPr>
        <w:t>дій,які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не проходять службу в Збройних Силах України КНП "Городоцька ЦЛ» Городоцької міської ради  здійснюється щомісячно у межах видатків, передбачених у бюджеті Городоцької ОТГ на відповідний рік.</w:t>
      </w:r>
    </w:p>
    <w:p w14:paraId="1EA6A01B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7.2.  КНП "Городоцька ЦЛ» Городоцької міської ради  надають платні послуги за тарифами, які затверджені у встановленому порядку.</w:t>
      </w:r>
    </w:p>
    <w:p w14:paraId="7958FDED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7.3. Для отримання коштів за фактично понесені витрати на проведення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мешканців Городоцької територіальної громади - учасників бойових </w:t>
      </w:r>
      <w:proofErr w:type="spellStart"/>
      <w:r w:rsidRPr="00FE3A2D">
        <w:rPr>
          <w:rFonts w:ascii="Century" w:hAnsi="Century" w:cs="Arial"/>
          <w:sz w:val="28"/>
          <w:szCs w:val="28"/>
        </w:rPr>
        <w:t>дій,які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не проходять службу в Збройних Силах України КНП "Городоцька ЦЛ» Городоцької міської ради щомісячно надає  Городоцькій міській раді акт про надані послуги, у якому зазначається прізвище, ім’я та по батькові пацієнта, категорія </w:t>
      </w:r>
      <w:r w:rsidRPr="00FE3A2D">
        <w:rPr>
          <w:rFonts w:ascii="Century" w:hAnsi="Century" w:cs="Arial"/>
          <w:sz w:val="28"/>
          <w:szCs w:val="28"/>
        </w:rPr>
        <w:lastRenderedPageBreak/>
        <w:t>та номер посвідчення ( за його наявності), адреса проживання, дата надання послуги, кількість наданих послуг, ціна за послугу (грн.) та сума відшкодування (грн.).</w:t>
      </w:r>
    </w:p>
    <w:p w14:paraId="6612704C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7.4. Городоцька міська рада після отримання фінансування з бюджету територіальної громади здійснює перерахунок коштів КНП «Городоцька центральна лікарня» для відшкодування витрат за надані послуги з </w:t>
      </w:r>
      <w:proofErr w:type="spellStart"/>
      <w:r w:rsidRPr="00FE3A2D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FE3A2D">
        <w:rPr>
          <w:rFonts w:ascii="Century" w:hAnsi="Century" w:cs="Arial"/>
          <w:sz w:val="28"/>
          <w:szCs w:val="28"/>
        </w:rPr>
        <w:t>.</w:t>
      </w:r>
    </w:p>
    <w:p w14:paraId="6C6AEF8B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7.5.Складання та подання фінансової звітності про використання бюджетних коштів, а також контроль за їх цільовим та ефективним використанням здійснюється у встановленому законодавством України порядку.</w:t>
      </w:r>
    </w:p>
    <w:p w14:paraId="5D74A2D4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7.6. КНП «Городоцька центральна лікарня» несе відповідальність за достовірність даних в актах про надані послуги та за якість самих послуг.</w:t>
      </w:r>
    </w:p>
    <w:bookmarkEnd w:id="4"/>
    <w:p w14:paraId="73ED3C43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6F2DD0B2" w14:textId="77777777" w:rsidR="00987DC5" w:rsidRPr="00FE3A2D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FE3A2D">
        <w:rPr>
          <w:rFonts w:ascii="Century" w:hAnsi="Century" w:cs="Arial"/>
          <w:b/>
          <w:sz w:val="28"/>
          <w:szCs w:val="28"/>
        </w:rPr>
        <w:t>8. Очікувані результати</w:t>
      </w:r>
    </w:p>
    <w:bookmarkEnd w:id="5"/>
    <w:p w14:paraId="4BAC2E54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277A3B7C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8.1. Впровадження Програми </w:t>
      </w:r>
      <w:proofErr w:type="spellStart"/>
      <w:r w:rsidRPr="00FE3A2D">
        <w:rPr>
          <w:rFonts w:ascii="Century" w:hAnsi="Century" w:cs="Arial"/>
          <w:sz w:val="28"/>
          <w:szCs w:val="28"/>
        </w:rPr>
        <w:t>надасть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можливість: </w:t>
      </w:r>
    </w:p>
    <w:p w14:paraId="1748DE43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8.1.1. Значного зменшення болю у пацієнта, аж до повного його зникнення. Відновлення рухової активності, можливості відновлення фізичних навантажень.</w:t>
      </w:r>
    </w:p>
    <w:p w14:paraId="61837E7D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 xml:space="preserve">8.1.2. Зменшення рівня </w:t>
      </w:r>
      <w:proofErr w:type="spellStart"/>
      <w:r w:rsidRPr="00FE3A2D">
        <w:rPr>
          <w:rFonts w:ascii="Century" w:hAnsi="Century" w:cs="Arial"/>
          <w:sz w:val="28"/>
          <w:szCs w:val="28"/>
        </w:rPr>
        <w:t>інвалідизації</w:t>
      </w:r>
      <w:proofErr w:type="spellEnd"/>
      <w:r w:rsidRPr="00FE3A2D">
        <w:rPr>
          <w:rFonts w:ascii="Century" w:hAnsi="Century" w:cs="Arial"/>
          <w:sz w:val="28"/>
          <w:szCs w:val="28"/>
        </w:rPr>
        <w:t xml:space="preserve"> пацієнтів.</w:t>
      </w:r>
    </w:p>
    <w:p w14:paraId="0C986C90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8.1.3. Продовження тривалості та підвищення якості життя пацієнтів.</w:t>
      </w:r>
    </w:p>
    <w:p w14:paraId="4E897A0C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8.1.4. Зменшення соціальної напруги, пов’язаної з неспроможністю самостійного забезпечення ендопротезами.</w:t>
      </w:r>
    </w:p>
    <w:p w14:paraId="4C0D62B0" w14:textId="77777777" w:rsidR="00987DC5" w:rsidRPr="00FE3A2D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FE3A2D">
        <w:rPr>
          <w:rFonts w:ascii="Century" w:hAnsi="Century" w:cs="Arial"/>
          <w:b/>
          <w:sz w:val="28"/>
          <w:szCs w:val="28"/>
        </w:rPr>
        <w:t>9. Контроль за виконанням Програми</w:t>
      </w:r>
    </w:p>
    <w:p w14:paraId="388FE430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0331CEA5" w14:textId="77777777" w:rsidR="00987DC5" w:rsidRPr="00FE3A2D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FE3A2D">
        <w:rPr>
          <w:rFonts w:ascii="Century" w:hAnsi="Century" w:cs="Arial"/>
          <w:sz w:val="28"/>
          <w:szCs w:val="28"/>
        </w:rPr>
        <w:t>9.1. Координацію та контроль за виконанням Програми здійснює комісія Городоцької міської ради.</w:t>
      </w:r>
    </w:p>
    <w:p w14:paraId="28D1552D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01BD72E6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5BED99F9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4538DD0C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3184DBF1" w14:textId="77777777" w:rsidR="00987DC5" w:rsidRPr="00FE3A2D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50F68A6F" w14:textId="0E01F767" w:rsidR="00FE3A2D" w:rsidRDefault="00987DC5" w:rsidP="00987DC5">
      <w:pPr>
        <w:jc w:val="both"/>
        <w:rPr>
          <w:rFonts w:ascii="Century" w:hAnsi="Century" w:cs="Arial"/>
          <w:b/>
          <w:bCs/>
          <w:sz w:val="28"/>
          <w:szCs w:val="28"/>
        </w:rPr>
      </w:pPr>
      <w:r w:rsidRPr="00FE3A2D">
        <w:rPr>
          <w:rFonts w:ascii="Century" w:hAnsi="Century" w:cs="Arial"/>
          <w:b/>
          <w:bCs/>
          <w:sz w:val="28"/>
          <w:szCs w:val="28"/>
        </w:rPr>
        <w:t>Секретар міської ради</w:t>
      </w:r>
      <w:r w:rsidRPr="00FE3A2D">
        <w:rPr>
          <w:rFonts w:ascii="Century" w:hAnsi="Century" w:cs="Arial"/>
          <w:b/>
          <w:bCs/>
          <w:sz w:val="28"/>
          <w:szCs w:val="28"/>
        </w:rPr>
        <w:tab/>
      </w:r>
      <w:r w:rsidRPr="00FE3A2D">
        <w:rPr>
          <w:rFonts w:ascii="Century" w:hAnsi="Century" w:cs="Arial"/>
          <w:b/>
          <w:bCs/>
          <w:sz w:val="28"/>
          <w:szCs w:val="28"/>
        </w:rPr>
        <w:tab/>
      </w:r>
      <w:r w:rsidRPr="00FE3A2D">
        <w:rPr>
          <w:rFonts w:ascii="Century" w:hAnsi="Century" w:cs="Arial"/>
          <w:b/>
          <w:bCs/>
          <w:sz w:val="28"/>
          <w:szCs w:val="28"/>
        </w:rPr>
        <w:tab/>
      </w:r>
      <w:r w:rsidRPr="00FE3A2D">
        <w:rPr>
          <w:rFonts w:ascii="Century" w:hAnsi="Century" w:cs="Arial"/>
          <w:b/>
          <w:bCs/>
          <w:sz w:val="28"/>
          <w:szCs w:val="28"/>
        </w:rPr>
        <w:tab/>
      </w:r>
      <w:r w:rsidR="00FE3A2D">
        <w:rPr>
          <w:rFonts w:ascii="Century" w:hAnsi="Century" w:cs="Arial"/>
          <w:b/>
          <w:bCs/>
          <w:sz w:val="28"/>
          <w:szCs w:val="28"/>
        </w:rPr>
        <w:tab/>
        <w:t xml:space="preserve">    </w:t>
      </w:r>
      <w:r w:rsidRPr="00FE3A2D">
        <w:rPr>
          <w:rFonts w:ascii="Century" w:hAnsi="Century" w:cs="Arial"/>
          <w:b/>
          <w:bCs/>
          <w:sz w:val="28"/>
          <w:szCs w:val="28"/>
        </w:rPr>
        <w:t xml:space="preserve">    Микола </w:t>
      </w:r>
      <w:r w:rsidR="00FE3A2D" w:rsidRPr="00FE3A2D">
        <w:rPr>
          <w:rFonts w:ascii="Century" w:hAnsi="Century" w:cs="Arial"/>
          <w:b/>
          <w:bCs/>
          <w:sz w:val="28"/>
          <w:szCs w:val="28"/>
        </w:rPr>
        <w:t>ЛУПІЙ</w:t>
      </w:r>
    </w:p>
    <w:p w14:paraId="64A04C2B" w14:textId="77777777" w:rsidR="00FE3A2D" w:rsidRDefault="00FE3A2D">
      <w:pPr>
        <w:suppressAutoHyphens w:val="0"/>
        <w:spacing w:after="200" w:line="276" w:lineRule="auto"/>
        <w:rPr>
          <w:rFonts w:ascii="Century" w:hAnsi="Century" w:cs="Arial"/>
          <w:b/>
          <w:bCs/>
          <w:sz w:val="28"/>
          <w:szCs w:val="28"/>
        </w:rPr>
      </w:pPr>
      <w:r>
        <w:rPr>
          <w:rFonts w:ascii="Century" w:hAnsi="Century" w:cs="Arial"/>
          <w:b/>
          <w:bCs/>
          <w:sz w:val="28"/>
          <w:szCs w:val="28"/>
        </w:rPr>
        <w:br w:type="page"/>
      </w:r>
    </w:p>
    <w:p w14:paraId="5DF7F77E" w14:textId="391E1CFF" w:rsidR="00FE3A2D" w:rsidRDefault="00FE3A2D" w:rsidP="00FE3A2D">
      <w:pPr>
        <w:ind w:left="6804"/>
        <w:rPr>
          <w:rFonts w:ascii="Century" w:hAnsi="Century" w:cs="Arial"/>
          <w:b/>
          <w:bCs/>
          <w:sz w:val="26"/>
          <w:szCs w:val="26"/>
        </w:rPr>
      </w:pPr>
      <w:r w:rsidRPr="00FE3A2D">
        <w:rPr>
          <w:rFonts w:ascii="Century" w:hAnsi="Century" w:cs="Arial"/>
          <w:b/>
          <w:bCs/>
          <w:sz w:val="26"/>
          <w:szCs w:val="26"/>
        </w:rPr>
        <w:lastRenderedPageBreak/>
        <w:t>Додаток до програми</w:t>
      </w:r>
    </w:p>
    <w:p w14:paraId="19B47D2A" w14:textId="77777777" w:rsidR="00FE3A2D" w:rsidRPr="00FE3A2D" w:rsidRDefault="00FE3A2D" w:rsidP="00FE3A2D">
      <w:pPr>
        <w:ind w:left="5103"/>
        <w:rPr>
          <w:rFonts w:ascii="Century" w:hAnsi="Century" w:cs="Arial"/>
          <w:b/>
          <w:bCs/>
          <w:sz w:val="26"/>
          <w:szCs w:val="26"/>
        </w:rPr>
      </w:pPr>
    </w:p>
    <w:p w14:paraId="037B7A3E" w14:textId="7496F312" w:rsidR="00987DC5" w:rsidRPr="00FE3A2D" w:rsidRDefault="00987DC5" w:rsidP="007629CA">
      <w:pPr>
        <w:jc w:val="center"/>
        <w:rPr>
          <w:rFonts w:ascii="Century" w:hAnsi="Century" w:cs="Arial"/>
          <w:b/>
          <w:bCs/>
          <w:sz w:val="26"/>
          <w:szCs w:val="26"/>
        </w:rPr>
      </w:pPr>
      <w:r w:rsidRPr="00FE3A2D">
        <w:rPr>
          <w:rFonts w:ascii="Century" w:hAnsi="Century" w:cs="Arial"/>
          <w:b/>
          <w:bCs/>
          <w:sz w:val="26"/>
          <w:szCs w:val="26"/>
        </w:rPr>
        <w:t xml:space="preserve">Обсяг фінансування </w:t>
      </w:r>
      <w:r w:rsidR="007629CA" w:rsidRPr="00FE3A2D">
        <w:rPr>
          <w:rFonts w:ascii="Century" w:hAnsi="Century" w:cs="Arial"/>
          <w:b/>
          <w:bCs/>
          <w:sz w:val="26"/>
          <w:szCs w:val="26"/>
        </w:rPr>
        <w:t xml:space="preserve">Програми із забезпечення учасників бойових дій послугами з </w:t>
      </w:r>
      <w:proofErr w:type="spellStart"/>
      <w:r w:rsidR="007629CA" w:rsidRPr="00FE3A2D">
        <w:rPr>
          <w:rFonts w:ascii="Century" w:hAnsi="Century" w:cs="Arial"/>
          <w:b/>
          <w:bCs/>
          <w:sz w:val="26"/>
          <w:szCs w:val="26"/>
        </w:rPr>
        <w:t>ендопротезування</w:t>
      </w:r>
      <w:proofErr w:type="spellEnd"/>
      <w:r w:rsidR="007629CA" w:rsidRPr="00FE3A2D">
        <w:rPr>
          <w:rFonts w:ascii="Century" w:hAnsi="Century" w:cs="Arial"/>
          <w:b/>
          <w:bCs/>
          <w:sz w:val="26"/>
          <w:szCs w:val="26"/>
        </w:rPr>
        <w:t xml:space="preserve"> суглобів в КНП «Городоцька ЦЛ» на 2025 рік</w:t>
      </w:r>
    </w:p>
    <w:p w14:paraId="330D3E18" w14:textId="77777777" w:rsidR="00987DC5" w:rsidRPr="00FE3A2D" w:rsidRDefault="00987DC5" w:rsidP="00987DC5">
      <w:pPr>
        <w:jc w:val="both"/>
        <w:rPr>
          <w:rFonts w:ascii="Century" w:hAnsi="Century" w:cs="Arial"/>
          <w:sz w:val="26"/>
          <w:szCs w:val="26"/>
        </w:rPr>
      </w:pPr>
    </w:p>
    <w:p w14:paraId="1E13E095" w14:textId="77777777" w:rsidR="00987DC5" w:rsidRPr="00FE3A2D" w:rsidRDefault="00987DC5" w:rsidP="00987DC5">
      <w:pPr>
        <w:jc w:val="both"/>
        <w:rPr>
          <w:rFonts w:ascii="Century" w:hAnsi="Century" w:cs="Arial"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05"/>
        <w:gridCol w:w="1866"/>
        <w:gridCol w:w="2693"/>
      </w:tblGrid>
      <w:tr w:rsidR="00987DC5" w:rsidRPr="00FE3A2D" w14:paraId="15619CFD" w14:textId="77777777" w:rsidTr="00FE3A2D">
        <w:trPr>
          <w:trHeight w:val="6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8D94" w14:textId="77777777" w:rsidR="00987DC5" w:rsidRPr="00FE3A2D" w:rsidRDefault="00987DC5">
            <w:pPr>
              <w:jc w:val="both"/>
              <w:rPr>
                <w:rFonts w:ascii="Century" w:hAnsi="Century" w:cs="Arial"/>
                <w:sz w:val="26"/>
                <w:szCs w:val="26"/>
              </w:rPr>
            </w:pPr>
            <w:r w:rsidRPr="00FE3A2D">
              <w:rPr>
                <w:rFonts w:ascii="Century" w:hAnsi="Century" w:cs="Arial"/>
                <w:sz w:val="26"/>
                <w:szCs w:val="26"/>
              </w:rPr>
              <w:t>Назва заходу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6E3D" w14:textId="77777777" w:rsidR="00987DC5" w:rsidRPr="00FE3A2D" w:rsidRDefault="00987DC5">
            <w:pPr>
              <w:rPr>
                <w:rFonts w:ascii="Century" w:hAnsi="Century" w:cs="Arial"/>
                <w:sz w:val="26"/>
                <w:szCs w:val="26"/>
              </w:rPr>
            </w:pPr>
            <w:r w:rsidRPr="00FE3A2D">
              <w:rPr>
                <w:rFonts w:ascii="Century" w:hAnsi="Century" w:cs="Arial"/>
                <w:sz w:val="26"/>
                <w:szCs w:val="26"/>
              </w:rPr>
              <w:t>Рік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DD39" w14:textId="77777777" w:rsidR="00987DC5" w:rsidRPr="00FE3A2D" w:rsidRDefault="00987DC5">
            <w:pPr>
              <w:jc w:val="both"/>
              <w:rPr>
                <w:rFonts w:ascii="Century" w:hAnsi="Century" w:cs="Arial"/>
                <w:sz w:val="26"/>
                <w:szCs w:val="26"/>
              </w:rPr>
            </w:pPr>
            <w:r w:rsidRPr="00FE3A2D">
              <w:rPr>
                <w:rFonts w:ascii="Century" w:hAnsi="Century" w:cs="Arial"/>
                <w:sz w:val="26"/>
                <w:szCs w:val="26"/>
              </w:rPr>
              <w:t xml:space="preserve">Сума, </w:t>
            </w:r>
            <w:proofErr w:type="spellStart"/>
            <w:r w:rsidRPr="00FE3A2D">
              <w:rPr>
                <w:rFonts w:ascii="Century" w:hAnsi="Century" w:cs="Arial"/>
                <w:sz w:val="26"/>
                <w:szCs w:val="26"/>
              </w:rPr>
              <w:t>тис.грн</w:t>
            </w:r>
            <w:proofErr w:type="spellEnd"/>
          </w:p>
        </w:tc>
      </w:tr>
      <w:tr w:rsidR="00987DC5" w:rsidRPr="00FE3A2D" w14:paraId="408C6572" w14:textId="77777777" w:rsidTr="00FE3A2D">
        <w:trPr>
          <w:trHeight w:val="8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621C" w14:textId="540FE0C4" w:rsidR="00987DC5" w:rsidRPr="00FE3A2D" w:rsidRDefault="00987DC5">
            <w:pPr>
              <w:jc w:val="both"/>
              <w:rPr>
                <w:rFonts w:ascii="Century" w:hAnsi="Century" w:cs="Arial"/>
                <w:sz w:val="26"/>
                <w:szCs w:val="26"/>
              </w:rPr>
            </w:pPr>
            <w:r w:rsidRPr="00FE3A2D">
              <w:rPr>
                <w:rFonts w:ascii="Century" w:hAnsi="Century" w:cs="Arial"/>
                <w:sz w:val="26"/>
                <w:szCs w:val="26"/>
              </w:rPr>
              <w:t>Послуг</w:t>
            </w:r>
            <w:r w:rsidR="0031252C" w:rsidRPr="00FE3A2D">
              <w:rPr>
                <w:rFonts w:ascii="Century" w:hAnsi="Century" w:cs="Arial"/>
                <w:sz w:val="26"/>
                <w:szCs w:val="26"/>
              </w:rPr>
              <w:t>и</w:t>
            </w:r>
            <w:r w:rsidRPr="00FE3A2D">
              <w:rPr>
                <w:rFonts w:ascii="Century" w:hAnsi="Century" w:cs="Arial"/>
                <w:sz w:val="26"/>
                <w:szCs w:val="26"/>
              </w:rPr>
              <w:t xml:space="preserve"> з </w:t>
            </w:r>
            <w:proofErr w:type="spellStart"/>
            <w:r w:rsidRPr="00FE3A2D">
              <w:rPr>
                <w:rFonts w:ascii="Century" w:hAnsi="Century" w:cs="Arial"/>
                <w:sz w:val="26"/>
                <w:szCs w:val="26"/>
              </w:rPr>
              <w:t>ендопротезування</w:t>
            </w:r>
            <w:proofErr w:type="spellEnd"/>
            <w:r w:rsidRPr="00FE3A2D">
              <w:rPr>
                <w:rFonts w:ascii="Century" w:hAnsi="Century" w:cs="Arial"/>
                <w:sz w:val="26"/>
                <w:szCs w:val="26"/>
              </w:rPr>
              <w:t xml:space="preserve"> суглобів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C1F6" w14:textId="77777777" w:rsidR="00987DC5" w:rsidRPr="00FE3A2D" w:rsidRDefault="00987DC5">
            <w:pPr>
              <w:jc w:val="both"/>
              <w:rPr>
                <w:rFonts w:ascii="Century" w:hAnsi="Century" w:cs="Arial"/>
                <w:sz w:val="26"/>
                <w:szCs w:val="26"/>
              </w:rPr>
            </w:pPr>
            <w:r w:rsidRPr="00FE3A2D">
              <w:rPr>
                <w:rFonts w:ascii="Century" w:hAnsi="Century" w:cs="Arial"/>
                <w:sz w:val="26"/>
                <w:szCs w:val="26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C286" w14:textId="77777777" w:rsidR="00987DC5" w:rsidRPr="00FE3A2D" w:rsidRDefault="00987DC5">
            <w:pPr>
              <w:jc w:val="both"/>
              <w:rPr>
                <w:rFonts w:ascii="Century" w:hAnsi="Century" w:cs="Arial"/>
                <w:sz w:val="26"/>
                <w:szCs w:val="26"/>
              </w:rPr>
            </w:pPr>
            <w:r w:rsidRPr="00FE3A2D">
              <w:rPr>
                <w:rFonts w:ascii="Century" w:hAnsi="Century" w:cs="Arial"/>
                <w:sz w:val="26"/>
                <w:szCs w:val="26"/>
              </w:rPr>
              <w:t>250</w:t>
            </w:r>
          </w:p>
        </w:tc>
      </w:tr>
    </w:tbl>
    <w:p w14:paraId="651CAD4A" w14:textId="77777777" w:rsidR="00987DC5" w:rsidRPr="00FE3A2D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1830D8C9" w14:textId="77777777" w:rsidR="00987DC5" w:rsidRPr="00FE3A2D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24F955E3" w14:textId="77777777" w:rsidR="00987DC5" w:rsidRPr="00FE3A2D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0C60A828" w14:textId="77777777" w:rsidR="00987DC5" w:rsidRPr="00FE3A2D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731FACF7" w14:textId="77777777" w:rsidR="00987DC5" w:rsidRPr="00FE3A2D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213B86E7" w14:textId="77777777" w:rsidR="00987DC5" w:rsidRPr="00FE3A2D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FE3A2D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FE3A2D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FE3A2D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FE3A2D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FE3A2D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FE3A2D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FE3A2D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FE3A2D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FE3A2D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03B31979" w14:textId="77777777" w:rsidR="00987DC5" w:rsidRPr="00FE3A2D" w:rsidRDefault="00987DC5" w:rsidP="00987DC5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08E4EA5D" w14:textId="77777777" w:rsidR="00987DC5" w:rsidRPr="00FE3A2D" w:rsidRDefault="00987DC5" w:rsidP="00987DC5">
      <w:pPr>
        <w:jc w:val="both"/>
        <w:rPr>
          <w:rFonts w:ascii="Century" w:hAnsi="Century" w:cs="Arial"/>
          <w:sz w:val="26"/>
          <w:szCs w:val="26"/>
        </w:rPr>
      </w:pPr>
    </w:p>
    <w:p w14:paraId="50FF9620" w14:textId="77777777" w:rsidR="00987DC5" w:rsidRPr="00FE3A2D" w:rsidRDefault="00987DC5" w:rsidP="00987DC5">
      <w:pPr>
        <w:jc w:val="both"/>
        <w:rPr>
          <w:rFonts w:ascii="Century" w:hAnsi="Century" w:cs="Arial"/>
          <w:sz w:val="26"/>
          <w:szCs w:val="26"/>
        </w:rPr>
      </w:pPr>
    </w:p>
    <w:p w14:paraId="47391B23" w14:textId="25031988" w:rsidR="00302308" w:rsidRPr="00FE3A2D" w:rsidRDefault="00964F77" w:rsidP="00964F77">
      <w:pPr>
        <w:widowControl w:val="0"/>
        <w:suppressAutoHyphens w:val="0"/>
        <w:ind w:left="5103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FE3A2D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Pr="00FE3A2D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RPr="00FE3A2D" w:rsidSect="00FE3A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D4364" w14:textId="77777777" w:rsidR="00792679" w:rsidRDefault="00792679" w:rsidP="00B45203">
      <w:r>
        <w:separator/>
      </w:r>
    </w:p>
  </w:endnote>
  <w:endnote w:type="continuationSeparator" w:id="0">
    <w:p w14:paraId="33B7971F" w14:textId="77777777" w:rsidR="00792679" w:rsidRDefault="0079267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B08A2" w14:textId="77777777" w:rsidR="00792679" w:rsidRDefault="00792679" w:rsidP="00B45203">
      <w:r>
        <w:separator/>
      </w:r>
    </w:p>
  </w:footnote>
  <w:footnote w:type="continuationSeparator" w:id="0">
    <w:p w14:paraId="7805461F" w14:textId="77777777" w:rsidR="00792679" w:rsidRDefault="0079267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308287564">
    <w:abstractNumId w:val="6"/>
  </w:num>
  <w:num w:numId="2" w16cid:durableId="869802968">
    <w:abstractNumId w:val="2"/>
  </w:num>
  <w:num w:numId="3" w16cid:durableId="1142505332">
    <w:abstractNumId w:val="12"/>
  </w:num>
  <w:num w:numId="4" w16cid:durableId="970095284">
    <w:abstractNumId w:val="4"/>
  </w:num>
  <w:num w:numId="5" w16cid:durableId="410857461">
    <w:abstractNumId w:val="7"/>
  </w:num>
  <w:num w:numId="6" w16cid:durableId="711925535">
    <w:abstractNumId w:val="8"/>
  </w:num>
  <w:num w:numId="7" w16cid:durableId="298338977">
    <w:abstractNumId w:val="10"/>
  </w:num>
  <w:num w:numId="8" w16cid:durableId="1447696276">
    <w:abstractNumId w:val="1"/>
  </w:num>
  <w:num w:numId="9" w16cid:durableId="16665627">
    <w:abstractNumId w:val="3"/>
  </w:num>
  <w:num w:numId="10" w16cid:durableId="1021785047">
    <w:abstractNumId w:val="13"/>
  </w:num>
  <w:num w:numId="11" w16cid:durableId="1124495639">
    <w:abstractNumId w:val="14"/>
  </w:num>
  <w:num w:numId="12" w16cid:durableId="1244946848">
    <w:abstractNumId w:val="0"/>
  </w:num>
  <w:num w:numId="13" w16cid:durableId="884219387">
    <w:abstractNumId w:val="11"/>
  </w:num>
  <w:num w:numId="14" w16cid:durableId="1390572889">
    <w:abstractNumId w:val="9"/>
  </w:num>
  <w:num w:numId="15" w16cid:durableId="14032856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639E"/>
    <w:rsid w:val="00007F00"/>
    <w:rsid w:val="00011C85"/>
    <w:rsid w:val="00013606"/>
    <w:rsid w:val="00024A1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09F4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1252C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7E1"/>
    <w:rsid w:val="00506E34"/>
    <w:rsid w:val="00513155"/>
    <w:rsid w:val="0052501A"/>
    <w:rsid w:val="0053069B"/>
    <w:rsid w:val="00531040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18E2"/>
    <w:rsid w:val="00726087"/>
    <w:rsid w:val="00734536"/>
    <w:rsid w:val="00737D87"/>
    <w:rsid w:val="00740236"/>
    <w:rsid w:val="007422BA"/>
    <w:rsid w:val="00746A1C"/>
    <w:rsid w:val="00751A5B"/>
    <w:rsid w:val="00756F2D"/>
    <w:rsid w:val="007629CA"/>
    <w:rsid w:val="00773BFF"/>
    <w:rsid w:val="0077408C"/>
    <w:rsid w:val="00781377"/>
    <w:rsid w:val="00792679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8F48D5"/>
    <w:rsid w:val="009011CB"/>
    <w:rsid w:val="0090297D"/>
    <w:rsid w:val="00913323"/>
    <w:rsid w:val="00916909"/>
    <w:rsid w:val="00955E1E"/>
    <w:rsid w:val="00962D6E"/>
    <w:rsid w:val="00964F77"/>
    <w:rsid w:val="0097434A"/>
    <w:rsid w:val="0097788C"/>
    <w:rsid w:val="00987DC5"/>
    <w:rsid w:val="00991BDB"/>
    <w:rsid w:val="00993879"/>
    <w:rsid w:val="009B2A0D"/>
    <w:rsid w:val="009B4D31"/>
    <w:rsid w:val="009D0162"/>
    <w:rsid w:val="009D7B09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13E1B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84066"/>
    <w:rsid w:val="00D91DCD"/>
    <w:rsid w:val="00D93420"/>
    <w:rsid w:val="00DC54B7"/>
    <w:rsid w:val="00DD72D7"/>
    <w:rsid w:val="00DE270C"/>
    <w:rsid w:val="00DF2E79"/>
    <w:rsid w:val="00DF7FA2"/>
    <w:rsid w:val="00E15F80"/>
    <w:rsid w:val="00E21A8C"/>
    <w:rsid w:val="00E26383"/>
    <w:rsid w:val="00E31E61"/>
    <w:rsid w:val="00E35505"/>
    <w:rsid w:val="00E475F5"/>
    <w:rsid w:val="00E539A4"/>
    <w:rsid w:val="00E56A83"/>
    <w:rsid w:val="00E777AD"/>
    <w:rsid w:val="00E844FD"/>
    <w:rsid w:val="00E876CD"/>
    <w:rsid w:val="00E9402D"/>
    <w:rsid w:val="00EB5C13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E3A2D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B5ECEBC9-19CE-4A3F-8F9D-3F4AB5FB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table" w:styleId="ab">
    <w:name w:val="Table Grid"/>
    <w:basedOn w:val="a1"/>
    <w:uiPriority w:val="39"/>
    <w:rsid w:val="00987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A5F4D-B432-4E76-B629-5DD3A9CCC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8</Pages>
  <Words>8415</Words>
  <Characters>4798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22</cp:revision>
  <cp:lastPrinted>2025-06-18T11:34:00Z</cp:lastPrinted>
  <dcterms:created xsi:type="dcterms:W3CDTF">2025-03-11T06:51:00Z</dcterms:created>
  <dcterms:modified xsi:type="dcterms:W3CDTF">2025-06-23T09:58:00Z</dcterms:modified>
</cp:coreProperties>
</file>