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B8AA5" w14:textId="77777777" w:rsidR="00AF7D37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752C2BE5" wp14:editId="3A9CD74B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92CAC3" w14:textId="77777777" w:rsidR="00AF7D37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7F79671D" w14:textId="77777777" w:rsidR="00AF7D37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F75C04A" w14:textId="77777777" w:rsidR="00AF7D37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35EC15C" w14:textId="77777777" w:rsidR="00AF7D37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63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52C9E3F" w14:textId="0EE4F97B" w:rsidR="00AF7D37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3B3532">
        <w:rPr>
          <w:rFonts w:ascii="Century" w:eastAsia="Century" w:hAnsi="Century" w:cs="Century"/>
          <w:b/>
          <w:sz w:val="32"/>
          <w:szCs w:val="32"/>
        </w:rPr>
        <w:t>63-8596</w:t>
      </w:r>
    </w:p>
    <w:p w14:paraId="0BBF96BB" w14:textId="77777777" w:rsidR="00AF7D37" w:rsidRDefault="00000000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29 травня 2025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50062E1E" w14:textId="77777777" w:rsidR="00AF7D37" w:rsidRDefault="00AF7D37">
      <w:pPr>
        <w:spacing w:line="276" w:lineRule="auto"/>
        <w:rPr>
          <w:rFonts w:ascii="Century" w:eastAsia="Century" w:hAnsi="Century" w:cs="Century"/>
          <w:sz w:val="32"/>
          <w:szCs w:val="32"/>
        </w:rPr>
      </w:pPr>
    </w:p>
    <w:p w14:paraId="182418DB" w14:textId="77777777" w:rsidR="00AF7D37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63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3BDA48E0" w14:textId="77777777" w:rsidR="00AF7D37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402A7F82" w14:textId="77777777" w:rsidR="00AF7D37" w:rsidRDefault="00000000">
      <w:pPr>
        <w:pStyle w:val="a4"/>
        <w:jc w:val="left"/>
      </w:pPr>
      <w:r>
        <w:t xml:space="preserve">ВИРІШИЛА: </w:t>
      </w:r>
    </w:p>
    <w:p w14:paraId="396A78AA" w14:textId="77777777" w:rsidR="00AF7D37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>
        <w:rPr>
          <w:rFonts w:ascii="Century" w:eastAsia="Century" w:hAnsi="Century" w:cs="Century"/>
          <w:color w:val="800000"/>
          <w:sz w:val="28"/>
          <w:szCs w:val="28"/>
        </w:rPr>
        <w:t>63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44A3F4D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bookmarkStart w:id="2" w:name="_heading=h.lkhiumr2cgw8" w:colFirst="0" w:colLast="0"/>
      <w:bookmarkEnd w:id="2"/>
      <w:r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60F3AE58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7F745D8D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включення в перелік об’єктів малої приватизації комунальної власності територіальної громади, що підлягають приватизації шляхом продажу на аукціонах</w:t>
      </w:r>
    </w:p>
    <w:p w14:paraId="2E35E688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14:paraId="64D9B011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у рішення Городоцької міської ради №22/22-4935 від 26 травня 2022  року «Про затвердження Положення про діяльність аукціонної комісії для продажу об’єктів комунальної власності Городоцької міської ради та складу аукціонної комісії»</w:t>
      </w:r>
    </w:p>
    <w:p w14:paraId="0E447304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72FD1713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реорганізацію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Лісновицького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Лісновицький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заклад загальної середньої освіти І ступеня Городоцької міської ради Львівської області</w:t>
      </w:r>
    </w:p>
    <w:p w14:paraId="726B1DB3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реорганізацію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Мильчицький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заклад загальної середньої освіти І ступеня Городоцької міської ради Львівської області</w:t>
      </w:r>
    </w:p>
    <w:p w14:paraId="125F4827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реорганізацію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Речичанський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заклад загальної середньої освіти І ступеня Городоцької міської ради Львівської області</w:t>
      </w:r>
    </w:p>
    <w:p w14:paraId="6C5FB7D6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14:paraId="2F1C8B5F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751B9473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інформатизації «Цифрова Городоцька міська територіальна громада» на 2025-2027 роки</w:t>
      </w:r>
    </w:p>
    <w:p w14:paraId="3E1AF0EB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14:paraId="2A994C0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560573AA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створення органу приватизації житлового фонду, що перебуває у комунальній власності Городоцької міської ради </w:t>
      </w:r>
    </w:p>
    <w:p w14:paraId="2A332E88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зміну до "Програми розвитку фізичної культури і спорту Городоцької міської ради на 2025-2027 рік</w:t>
      </w:r>
    </w:p>
    <w:p w14:paraId="088CCEDB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1CE86AEC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1B5A9E87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 Програми «Технічного і фінансового забезпечення, вдосконалення та розвитку систем централізованого </w:t>
      </w: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>оповіщення і зв’язку Городоцької міської територіальної громади  на 2025-2027 роки</w:t>
      </w:r>
    </w:p>
    <w:p w14:paraId="7E805CC2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19 лютого 2025 року №25/60-8276 “Про затвердження програми матеріальної підтримки відділення поліції №1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2025 рік»</w:t>
      </w:r>
    </w:p>
    <w:p w14:paraId="1D7375C4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до 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2025рік»  затвердженої рішенням сесії Городоцької міської ради від 19.12.2024р. №24/57-8050</w:t>
      </w:r>
    </w:p>
    <w:p w14:paraId="71799A45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внесення змін у бюджет Городоцької міської територіальної громади на 2025 рік</w:t>
      </w:r>
    </w:p>
    <w:p w14:paraId="6120408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доповнення Переліку адміністративних послуг, які надаються через відділ «Центр надання адміністративних послуг» Городоцької міської ради та віддалені робочі місця</w:t>
      </w:r>
    </w:p>
    <w:p w14:paraId="2D575D05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присвоєння чергового рангу посадової особи місцевого самоврядування старості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Заверешицького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Ігорю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Виздрику</w:t>
      </w:r>
      <w:proofErr w:type="spellEnd"/>
    </w:p>
    <w:p w14:paraId="0B985F96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 в районі вулиць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Комарнівська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–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М.Павлика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в м. Городок Львівської області</w:t>
      </w:r>
    </w:p>
    <w:p w14:paraId="6F97BE01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кварталу індивідуальної житлової забудови в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2B611544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кварталу індивідуальної житлової забудови в районі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вул.Княгині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Ольги,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вул.Застава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вул.О.Кобилянської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в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46799091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кварталу індивідуальної житлової забудови в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с.Галичани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40ABF3BA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для обслуговування багатоквартирних житлових будинків, прилеглих господарських будівель і споруд та прибудинкової території на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вул.Скітник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в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та надання дозволу на розроблення проекту землеустрою</w:t>
      </w:r>
    </w:p>
    <w:p w14:paraId="1FB1F36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детального плану території колишнього господарського двору на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вул.Цвітна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в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с.Галичани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та надання дозволу на розроблення проекту землеустрою</w:t>
      </w:r>
    </w:p>
    <w:p w14:paraId="08D26453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земельної ділянки орієнтовною площею 0,7 га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(КВЦПЗ–11.02), що розташована на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в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Львівського району Львівської області та надання дозволу на розроблення проекту землеустрою</w:t>
      </w:r>
    </w:p>
    <w:p w14:paraId="0A5F6B58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Про надання дозволу </w:t>
      </w:r>
      <w:proofErr w:type="spellStart"/>
      <w:r>
        <w:rPr>
          <w:rFonts w:ascii="Century" w:eastAsia="Century" w:hAnsi="Century" w:cs="Century"/>
          <w:b/>
          <w:color w:val="000000"/>
          <w:sz w:val="28"/>
          <w:szCs w:val="28"/>
        </w:rPr>
        <w:t>Митурак</w:t>
      </w:r>
      <w:proofErr w:type="spellEnd"/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 Катерині Теодорівні на розробку технічної документації із землеустрою щодо встановлен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площею 2,06 умовних кадастрових гектари</w:t>
      </w:r>
    </w:p>
    <w:p w14:paraId="09A5C26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Тицейко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Марії Петрівні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площею 1,63 умовних кадастрових гектари</w:t>
      </w:r>
    </w:p>
    <w:p w14:paraId="371E8137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Майхеру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Івану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Євстаховичу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Угрівського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площею 1,70 умовних кадастрових гектари</w:t>
      </w:r>
    </w:p>
    <w:p w14:paraId="284FF87E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Гурняк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Зої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Вячеславівні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площею 2,04 умовних кадастрових гектари</w:t>
      </w:r>
    </w:p>
    <w:p w14:paraId="1EFCC7A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Стоділці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Любові Степанівні та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Гасюк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Олегу 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площею 1,82 умовних кадастрових гектари</w:t>
      </w:r>
    </w:p>
    <w:p w14:paraId="62831466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надання дозволу Рабі Оксані Вікторівні на розроблення проекту землеустрою щодо відведення земельної ділянки з метою передачі її в оренду для сінокосіння та випасання худоби КВЦПЗ -</w:t>
      </w: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01.08, яка розташована за межами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області.</w:t>
      </w:r>
    </w:p>
    <w:p w14:paraId="59B26DA3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ТОВ «Юкрейн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Тауер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Компані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» на розроблення проекту землеустрою щодо відведення земельної ділянки в оренду для розміщення та експлуатації об’єктів і споруд електронних комунікацій в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2D24E53A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Мацьківу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Володимиру Михайловичу на розроблення проекту землеустрою щодо відведення земельних ділянок з метою передачі їх в оренду для сінокосіння та випасання худоби КВЦПЗ -01.08, які розташовані на території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Львівського району Львівської області.</w:t>
      </w:r>
    </w:p>
    <w:p w14:paraId="7B7AA1D5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ТзОВ «КЕРНІНВЕСТ»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 Шевченка Т.Г., 18,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с.Керниця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, Львівського району Львівської області.</w:t>
      </w:r>
    </w:p>
    <w:p w14:paraId="2A9F5853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надання дозволу ОСББ «АТЛАНТ 2021»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(КВЦПЗ – 02.03) розта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шованої за </w:t>
      </w:r>
      <w:proofErr w:type="spellStart"/>
      <w:r>
        <w:rPr>
          <w:rFonts w:ascii="Century" w:eastAsia="Century" w:hAnsi="Century" w:cs="Century"/>
          <w:b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: вул. Крип’якевича,10, </w:t>
      </w:r>
      <w:proofErr w:type="spellStart"/>
      <w:r>
        <w:rPr>
          <w:rFonts w:ascii="Century" w:eastAsia="Century" w:hAnsi="Century" w:cs="Century"/>
          <w:b/>
          <w:color w:val="000000"/>
          <w:sz w:val="28"/>
          <w:szCs w:val="28"/>
        </w:rPr>
        <w:t>м.Городок</w:t>
      </w:r>
      <w:proofErr w:type="spellEnd"/>
      <w:r>
        <w:rPr>
          <w:rFonts w:ascii="Century" w:eastAsia="Century" w:hAnsi="Century" w:cs="Century"/>
          <w:b/>
          <w:color w:val="000000"/>
          <w:sz w:val="28"/>
          <w:szCs w:val="28"/>
        </w:rPr>
        <w:t>, Львівського району Львівської області.</w:t>
      </w:r>
    </w:p>
    <w:p w14:paraId="3E0C2A04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 на території Городоцької міської ради (за межами населеного пункту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с.Речичани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) та передачі їх в оренду ТОВ «Захід Агро МХП».</w:t>
      </w:r>
    </w:p>
    <w:p w14:paraId="73B4A854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Чепіль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Лесі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вул.Галицька,7,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74AA864A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Душенку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Любомиру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вул.Дорошенка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П.,46,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4CEEB4C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Душенко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Оксані Мирославівні для будівництва і </w:t>
      </w: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вул.Дорошенка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П.,48,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7C990AEE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Дмитришин Зіновії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вул.Весела,4,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с.Путятичі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16453CDB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Хороз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Дмитру Романовичу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вул.Весела,18,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с.Путятичі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793C62B7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Бойко Марії Дмитрівні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вул.Центральна,24,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с.Путятичі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1CA3F96C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Винницькій Степанії Семенівні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вул.Добрянська,81,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с.Шоломиничі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59A47049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Чигис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Уляні Іванівні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вул.Головна,84,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с.Градівка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1474886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Качмару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Івану Івановичу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вул.Окружна,13,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55A074E9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Сахелашвілі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-Біль Ользі Іванівні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вул.Центральна,28,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с.Речичани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07B1E4AA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Перетятко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Марії Василівні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вул.Сонячна,44,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с.Бар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4E9E155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Карапінці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Юрію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вул.Космічна,3,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с.Братковичі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21A489D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Шніцару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Володимиру Івановичу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вул.Вишнева,173,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с.Тучапи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4047ABAE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Гук Галині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вул.Верхня,62,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с.Добряни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1892181E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Мартин Володимиру Григоровичу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вул.Верхня,29,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с.Добряни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37B3EB93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Жук Руслані Омелянівні 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 Окружна,30,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0C61347B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Батенко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Марії Михайлівні для ведення товарного сільськогосподарського виробництва, яка розташована на території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ради.</w:t>
      </w:r>
    </w:p>
    <w:p w14:paraId="08271081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Панич Іванні Ігорівні для ведення товарного сільськогосподарського виробництва, які розташовані на території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ради.</w:t>
      </w:r>
    </w:p>
    <w:p w14:paraId="5DB0D2B8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Панич Іванні Ігорівні для ведення товарного сільськогосподарського виробництва, які розташовані на території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ради.</w:t>
      </w:r>
    </w:p>
    <w:p w14:paraId="6390BCFA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Гулящій Людмилі Володимирівні для ведення товарного </w:t>
      </w: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ради.</w:t>
      </w:r>
    </w:p>
    <w:p w14:paraId="42AE9E62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Луців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Стефанії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Іванівні для ведення товарного сільськогосподарського виробництва, які розташовані на території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ради.</w:t>
      </w:r>
    </w:p>
    <w:p w14:paraId="3FFEEE18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(за межами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с.Мильчиці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) Львівського району Львівської області та передачі їх в оренду ТОВ «Захід-Агро МХП»</w:t>
      </w:r>
    </w:p>
    <w:p w14:paraId="3200D60D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Танчак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Мирону Івановичу з КВЦПЗ – 10.06 - для сінокосіння, яка розташована в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6520879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Трохим Ярославу Івановичу з КВЦПЗ - 11.02 -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яка розташована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вул.Промислова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, 14, 25,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2BFD8D29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Солук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Юрію Ігоровичу з КВЦПЗ - 11.02 -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яка розташована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вул.Франка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І.,40,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391D1C5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Бойка Василя Олеговича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вул.Верхня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2CD3E84E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земельних ділянок приватної власності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Братковської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Віри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Ярославівної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для зміни їх цільового призначення із «01.01 - для ведення товарного сільськогосподарського виробництва» на « 02.01 - для будівництва і обслуговування житлового будинку, господарських будівель і споруд </w:t>
      </w: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(присадибна ділянка)» розташованих в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с.Воля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-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Бартатівська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5883B78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Шпирка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Ігоря Петровича для зміни її цільового призначення із «02.03 - для будівництва і обслуговування багатоквартирного житлового будинку» на «03.07 - для будівництва та обслуговування будівель торгівлі»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вул.Лісова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, 1,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с.Воля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-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Бартатівська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5023880F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 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області.</w:t>
      </w:r>
    </w:p>
    <w:p w14:paraId="7E278A20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для будівництва та обслуговування будівель торгівлі КВЦПЗ -03.07, площею 0,7730 га,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Комарнівська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, м. Городок Львівського району Львівської області;  кадастровий номер 4620910100:29:001:0169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14:paraId="4DEAF64B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Кадикало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Оксани Ярославівни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«03.07 - для будівництва та об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слуговування будівель торгівлі» розташованої за </w:t>
      </w:r>
      <w:proofErr w:type="spellStart"/>
      <w:r>
        <w:rPr>
          <w:rFonts w:ascii="Century" w:eastAsia="Century" w:hAnsi="Century" w:cs="Century"/>
          <w:b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: вул. </w:t>
      </w:r>
      <w:proofErr w:type="spellStart"/>
      <w:r>
        <w:rPr>
          <w:rFonts w:ascii="Century" w:eastAsia="Century" w:hAnsi="Century" w:cs="Century"/>
          <w:b/>
          <w:color w:val="000000"/>
          <w:sz w:val="28"/>
          <w:szCs w:val="28"/>
        </w:rPr>
        <w:t>І.Сірка</w:t>
      </w:r>
      <w:proofErr w:type="spellEnd"/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, 1а, </w:t>
      </w:r>
      <w:proofErr w:type="spellStart"/>
      <w:r>
        <w:rPr>
          <w:rFonts w:ascii="Century" w:eastAsia="Century" w:hAnsi="Century" w:cs="Century"/>
          <w:b/>
          <w:color w:val="000000"/>
          <w:sz w:val="28"/>
          <w:szCs w:val="28"/>
        </w:rPr>
        <w:t>м.Городок</w:t>
      </w:r>
      <w:proofErr w:type="spellEnd"/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 Львівського району Львівської області.</w:t>
      </w:r>
    </w:p>
    <w:p w14:paraId="49F78113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гр.Канафоцькому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Р.О. дозволу на передачу орендованої земельної ділянки в суборенду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гр.Федак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А.І. </w:t>
      </w:r>
    </w:p>
    <w:p w14:paraId="371F89F9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ТзОВ «Городоцька споживспілка» дозволу на викуп та проведення експертної грошової оцінки земельної ділянки не сільськогосподарського призначення. </w:t>
      </w:r>
    </w:p>
    <w:p w14:paraId="4FFCE7A7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гр.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Кориляк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Мирославі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Здиславівні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дозволу на викуп та проведення експертної грошової оцінки земельної ділянки не сільськогосподарського призначення. </w:t>
      </w:r>
    </w:p>
    <w:p w14:paraId="344FD579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поновлення договору оренди землі, який укладено 10.03.2025 з ФОП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Огінок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В.І. на земельну ділянку площею 0,0035 га, що розташована по вул. Перемишльська в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Львівської області.</w:t>
      </w:r>
    </w:p>
    <w:p w14:paraId="75BD5AB2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гр.Олексів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Ірині Іванівні.</w:t>
      </w:r>
    </w:p>
    <w:p w14:paraId="7C4D5366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Звіту про експертну грошову оцінку вартості земельної ділянки та продаж земельної ділянки у власність гр.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Ковальовій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Галині Степанівні  </w:t>
      </w:r>
    </w:p>
    <w:p w14:paraId="3D857042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Городоцької міської ради № 23/30-5780 від 20 квітня 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: вул. Шевченка, 10,                                     с. Градівка, Львівського району Львівської області».</w:t>
      </w:r>
    </w:p>
    <w:p w14:paraId="433065B9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надання ТОВ «ЕКО ДОЛИНА» дозволу на викуп та проведення експертної грошової оцінки земельної ділянки не сільськогосподарського призначення.</w:t>
      </w:r>
    </w:p>
    <w:p w14:paraId="32BB4A91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 припинення, шляхом розірвання за взаємною згодою сторін, договору оренди землі з Козаком Михайлом Степановичем.</w:t>
      </w:r>
    </w:p>
    <w:p w14:paraId="562866C7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 передачу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гр.Лапкевич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Уляні Степанівні в оренду земельної ділянки.</w:t>
      </w:r>
    </w:p>
    <w:p w14:paraId="66FBD2C8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 -03.01)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 Сонячна,1А,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</w:t>
      </w:r>
    </w:p>
    <w:p w14:paraId="65D23179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 -03.01) розташованої за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: вул. Козацька,1А,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с.Градівка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4BC0E199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</w:t>
      </w:r>
    </w:p>
    <w:p w14:paraId="419B80F9" w14:textId="77777777" w:rsidR="00AF7D3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05AFBADC" w14:textId="77777777" w:rsidR="00AF7D37" w:rsidRDefault="00AF7D37">
      <w:pPr>
        <w:jc w:val="both"/>
        <w:rPr>
          <w:rFonts w:ascii="Century" w:eastAsia="Century" w:hAnsi="Century" w:cs="Century"/>
          <w:sz w:val="28"/>
          <w:szCs w:val="28"/>
        </w:rPr>
      </w:pPr>
    </w:p>
    <w:p w14:paraId="41A03AB3" w14:textId="77777777" w:rsidR="00AF7D37" w:rsidRDefault="00AF7D37">
      <w:pPr>
        <w:jc w:val="both"/>
        <w:rPr>
          <w:rFonts w:ascii="Century" w:eastAsia="Century" w:hAnsi="Century" w:cs="Century"/>
          <w:sz w:val="28"/>
          <w:szCs w:val="28"/>
        </w:rPr>
      </w:pPr>
    </w:p>
    <w:p w14:paraId="3AF8C862" w14:textId="77777777" w:rsidR="00AF7D37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F7D37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B81DD" w14:textId="77777777" w:rsidR="00B17405" w:rsidRDefault="00B17405">
      <w:r>
        <w:separator/>
      </w:r>
    </w:p>
  </w:endnote>
  <w:endnote w:type="continuationSeparator" w:id="0">
    <w:p w14:paraId="1B2D860F" w14:textId="77777777" w:rsidR="00B17405" w:rsidRDefault="00B1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461F" w14:textId="77777777" w:rsidR="00B17405" w:rsidRDefault="00B17405">
      <w:r>
        <w:separator/>
      </w:r>
    </w:p>
  </w:footnote>
  <w:footnote w:type="continuationSeparator" w:id="0">
    <w:p w14:paraId="0EAF6B8A" w14:textId="77777777" w:rsidR="00B17405" w:rsidRDefault="00B17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84A35" w14:textId="77777777" w:rsidR="00AF7D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3B3532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61930"/>
    <w:multiLevelType w:val="multilevel"/>
    <w:tmpl w:val="F6B079C8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8C22E5"/>
    <w:multiLevelType w:val="multilevel"/>
    <w:tmpl w:val="C570CC5E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3669197">
    <w:abstractNumId w:val="0"/>
  </w:num>
  <w:num w:numId="2" w16cid:durableId="1996882838">
    <w:abstractNumId w:val="1"/>
  </w:num>
  <w:num w:numId="3" w16cid:durableId="123427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D37"/>
    <w:rsid w:val="003B3532"/>
    <w:rsid w:val="00716A21"/>
    <w:rsid w:val="00AF7D37"/>
    <w:rsid w:val="00B1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3B60"/>
  <w15:docId w15:val="{A497ACD0-8D3E-435C-A94A-F56195BD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14964</Words>
  <Characters>8530</Characters>
  <Application>Microsoft Office Word</Application>
  <DocSecurity>0</DocSecurity>
  <Lines>71</Lines>
  <Paragraphs>46</Paragraphs>
  <ScaleCrop>false</ScaleCrop>
  <Company/>
  <LinksUpToDate>false</LinksUpToDate>
  <CharactersWithSpaces>23448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dcterms:created xsi:type="dcterms:W3CDTF">2025-06-02T08:11:00Z</dcterms:created>
  <dcterms:modified xsi:type="dcterms:W3CDTF">2025-06-02T08:11:00Z</dcterms:modified>
</cp:coreProperties>
</file>