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6672" w:rsidRPr="00260B39" w:rsidRDefault="006B667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672" w:rsidRPr="00260B39" w:rsidRDefault="006B667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B6672" w:rsidRPr="00260B39" w:rsidRDefault="006B667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B6672" w:rsidRDefault="006B667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B6672" w:rsidRPr="001443EB" w:rsidRDefault="006B667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B6672" w:rsidRPr="00260B39" w:rsidRDefault="006B667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B6672" w:rsidRPr="00260B39" w:rsidRDefault="006B667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B6672" w:rsidRDefault="006B667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B6672" w:rsidRPr="00045C12" w:rsidRDefault="006B667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B6672" w:rsidRDefault="006B667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B6672" w:rsidRPr="001443EB" w:rsidRDefault="006B667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розміщення та експлуатації будівель і споруд автомобільного транспорту та дорожнього господарства (КВЦПЗ-12.04) на території Городоцької міської ради Львівського району Львівської області (площа 1,9576 га) Служба відновленні та розвитку інфраструктури у Львівській області</w:t>
      </w:r>
    </w:p>
    <w:p w:rsidR="006B6672" w:rsidRPr="00260B39" w:rsidRDefault="006B667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B667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B6672" w:rsidRPr="00260B39" w:rsidRDefault="006B667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B6672" w:rsidRPr="00260B39" w:rsidRDefault="006B667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B6672" w:rsidRPr="00260B39" w:rsidRDefault="006B667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B6672" w:rsidRPr="00D76C69" w:rsidRDefault="006B667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B6672" w:rsidRPr="00D26333" w:rsidRDefault="006B667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B6672" w:rsidRPr="00797DC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B6672" w:rsidRPr="000C38F9" w:rsidRDefault="006B6672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B6672" w:rsidRPr="00D26333" w:rsidRDefault="006B6672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B6672" w:rsidRPr="00797DC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B6672" w:rsidRPr="00F802E7" w:rsidRDefault="006B667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667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6672" w:rsidRPr="000C38F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B6672" w:rsidRPr="00260B39" w:rsidRDefault="006B667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B6672" w:rsidRPr="00260B39" w:rsidRDefault="006B667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B6672" w:rsidRPr="00260B39" w:rsidRDefault="006B667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6B6672" w:rsidRPr="00260B39" w:rsidRDefault="006B667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B6672" w:rsidRPr="00260B39" w:rsidRDefault="006B667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6B6672" w:rsidRPr="00260B39" w:rsidRDefault="006B667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6672" w:rsidRPr="00260B39" w:rsidRDefault="006B667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6672" w:rsidRDefault="006B667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6672" w:rsidRPr="001443EB" w:rsidRDefault="006B667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B6672" w:rsidRPr="001443EB" w:rsidRDefault="006B667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B6672" w:rsidRDefault="006B667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B6672" w:rsidRPr="00260B39" w:rsidRDefault="006B667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B6672" w:rsidRDefault="006B667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6672" w:rsidRDefault="006B667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6672" w:rsidRPr="00260B39" w:rsidRDefault="006B667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6672" w:rsidRPr="00260B39" w:rsidRDefault="006B667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B6672" w:rsidRDefault="006B6672">
      <w:pPr>
        <w:rPr>
          <w:sz w:val="28"/>
          <w:szCs w:val="28"/>
          <w:lang w:val="uk-UA"/>
        </w:rPr>
        <w:sectPr w:rsidR="006B6672" w:rsidSect="006B667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B6672" w:rsidRPr="004E4BC3" w:rsidRDefault="006B6672">
      <w:pPr>
        <w:rPr>
          <w:sz w:val="28"/>
          <w:szCs w:val="28"/>
          <w:lang w:val="uk-UA"/>
        </w:rPr>
      </w:pPr>
    </w:p>
    <w:sectPr w:rsidR="006B6672" w:rsidRPr="004E4BC3" w:rsidSect="006B667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6672" w:rsidRDefault="006B6672" w:rsidP="00AA6D1B">
      <w:pPr>
        <w:spacing w:after="0" w:line="240" w:lineRule="auto"/>
      </w:pPr>
      <w:r>
        <w:separator/>
      </w:r>
    </w:p>
  </w:endnote>
  <w:endnote w:type="continuationSeparator" w:id="0">
    <w:p w:rsidR="006B6672" w:rsidRDefault="006B667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6672" w:rsidRPr="00A06BFA" w:rsidRDefault="006B667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154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26/78-9861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6672" w:rsidRPr="00A06BFA" w:rsidRDefault="006B667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6672" w:rsidRDefault="006B6672" w:rsidP="00AA6D1B">
      <w:pPr>
        <w:spacing w:after="0" w:line="240" w:lineRule="auto"/>
      </w:pPr>
      <w:r>
        <w:separator/>
      </w:r>
    </w:p>
  </w:footnote>
  <w:footnote w:type="continuationSeparator" w:id="0">
    <w:p w:rsidR="006B6672" w:rsidRDefault="006B667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6B6672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1202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